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41AED034"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009A1476">
        <w:rPr>
          <w:rFonts w:ascii="Arial" w:hAnsi="Arial" w:cs="Arial"/>
          <w:sz w:val="22"/>
        </w:rPr>
        <w:t>bis</w:t>
      </w:r>
      <w:r w:rsidRPr="00D82E74">
        <w:rPr>
          <w:rFonts w:ascii="Arial" w:hAnsi="Arial" w:cs="Arial"/>
          <w:sz w:val="22"/>
        </w:rPr>
        <w:tab/>
      </w:r>
      <w:r w:rsidR="009448CA" w:rsidRPr="009448CA">
        <w:rPr>
          <w:rFonts w:ascii="Arial" w:hAnsi="Arial" w:cs="Arial"/>
          <w:sz w:val="22"/>
        </w:rPr>
        <w:t>R2-1904144</w:t>
      </w:r>
    </w:p>
    <w:bookmarkEnd w:id="0"/>
    <w:p w14:paraId="312498EA" w14:textId="2ECD4552" w:rsidR="0013686C" w:rsidRDefault="00891598" w:rsidP="0013686C">
      <w:pPr>
        <w:pStyle w:val="3GPPHeader"/>
        <w:spacing w:after="0"/>
        <w:rPr>
          <w:rFonts w:ascii="Arial" w:hAnsi="Arial" w:cs="Arial"/>
          <w:sz w:val="22"/>
        </w:rPr>
      </w:pPr>
      <w:r w:rsidRPr="00891598">
        <w:rPr>
          <w:rFonts w:ascii="Arial" w:hAnsi="Arial" w:cs="Arial"/>
          <w:sz w:val="22"/>
        </w:rPr>
        <w:t>Xi'an, China, 8 - 12 April</w:t>
      </w:r>
      <w:r>
        <w:rPr>
          <w:rFonts w:ascii="Arial" w:hAnsi="Arial" w:cs="Arial"/>
          <w:sz w:val="22"/>
        </w:rPr>
        <w:t xml:space="preserve"> </w:t>
      </w:r>
      <w:r w:rsidR="0013686C" w:rsidRPr="00551C91">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5245691" w:rsidR="00120D47" w:rsidRPr="009A1476"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7E0288" w:rsidRPr="007E0288">
        <w:rPr>
          <w:rFonts w:ascii="Arial" w:hAnsi="Arial" w:cs="Arial"/>
          <w:b w:val="0"/>
          <w:sz w:val="22"/>
        </w:rPr>
        <w:t>11.11.2 Power saving enhancements of paging procedure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57756B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proofErr w:type="spellStart"/>
      <w:r w:rsidR="006C5FC1" w:rsidRPr="006C5FC1">
        <w:rPr>
          <w:rFonts w:ascii="Arial" w:hAnsi="Arial" w:cs="Arial"/>
          <w:b w:val="0"/>
          <w:bCs/>
          <w:sz w:val="22"/>
          <w:lang w:val="en-US"/>
        </w:rPr>
        <w:t>eDRX</w:t>
      </w:r>
      <w:proofErr w:type="spellEnd"/>
      <w:r w:rsidR="006C5FC1" w:rsidRPr="006C5FC1">
        <w:rPr>
          <w:rFonts w:ascii="Arial" w:hAnsi="Arial" w:cs="Arial"/>
          <w:b w:val="0"/>
          <w:bCs/>
          <w:sz w:val="22"/>
          <w:lang w:val="en-US"/>
        </w:rPr>
        <w:t xml:space="preserve"> in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B7285E6" w:rsidR="00120D47" w:rsidRDefault="004D10CC" w:rsidP="00120D47">
      <w:pPr>
        <w:pStyle w:val="Heading1"/>
      </w:pPr>
      <w:r>
        <w:t>Introduction</w:t>
      </w:r>
    </w:p>
    <w:p w14:paraId="338790DD" w14:textId="7E84F3FC" w:rsidR="00BE0EBF" w:rsidRDefault="00BE0EBF" w:rsidP="00BE0EBF">
      <w:pPr>
        <w:rPr>
          <w:lang w:val="en-GB" w:eastAsia="zh-CN"/>
        </w:rPr>
      </w:pPr>
      <w:r>
        <w:rPr>
          <w:lang w:val="en-GB" w:eastAsia="zh-CN"/>
        </w:rPr>
        <w:t xml:space="preserve">RAN2 discussed </w:t>
      </w:r>
      <w:r w:rsidRPr="00BE0EBF">
        <w:rPr>
          <w:lang w:val="en-GB" w:eastAsia="zh-CN"/>
        </w:rPr>
        <w:t xml:space="preserve">whether to extend the DRX cycle length </w:t>
      </w:r>
      <w:r w:rsidR="00B23DCA">
        <w:rPr>
          <w:lang w:val="en-GB" w:eastAsia="zh-CN"/>
        </w:rPr>
        <w:t>in Idle and Inactive mode</w:t>
      </w:r>
      <w:r w:rsidR="00FF55B6">
        <w:rPr>
          <w:lang w:val="en-GB" w:eastAsia="zh-CN"/>
        </w:rPr>
        <w:t xml:space="preserve"> [1, 2]</w:t>
      </w:r>
      <w:r w:rsidR="00B23DCA">
        <w:rPr>
          <w:lang w:val="en-GB" w:eastAsia="zh-CN"/>
        </w:rPr>
        <w:t xml:space="preserve">. RAN2 </w:t>
      </w:r>
      <w:r w:rsidR="007020DE">
        <w:rPr>
          <w:lang w:val="en-GB" w:eastAsia="zh-CN"/>
        </w:rPr>
        <w:t>made the following agreements:</w:t>
      </w:r>
    </w:p>
    <w:p w14:paraId="21144E85" w14:textId="77777777" w:rsidR="00E624C8" w:rsidRPr="00E624C8" w:rsidRDefault="00E624C8" w:rsidP="00E624C8">
      <w:pPr>
        <w:pStyle w:val="Doc-text2"/>
        <w:pBdr>
          <w:top w:val="single" w:sz="4" w:space="1" w:color="auto"/>
          <w:left w:val="single" w:sz="4" w:space="4" w:color="auto"/>
          <w:bottom w:val="single" w:sz="4" w:space="1" w:color="auto"/>
          <w:right w:val="single" w:sz="4" w:space="4" w:color="auto"/>
        </w:pBdr>
        <w:ind w:left="726"/>
        <w:rPr>
          <w:rFonts w:ascii="Times New Roman" w:hAnsi="Times New Roman"/>
          <w:b/>
          <w:color w:val="C45911" w:themeColor="accent2" w:themeShade="BF"/>
          <w:lang w:val="en-US"/>
        </w:rPr>
      </w:pPr>
      <w:r w:rsidRPr="00E624C8">
        <w:rPr>
          <w:rFonts w:ascii="Times New Roman" w:hAnsi="Times New Roman"/>
          <w:b/>
          <w:color w:val="C45911" w:themeColor="accent2" w:themeShade="BF"/>
          <w:lang w:val="en-US"/>
        </w:rPr>
        <w:t>Agreements</w:t>
      </w:r>
    </w:p>
    <w:p w14:paraId="23150DE6" w14:textId="77777777" w:rsidR="00E624C8" w:rsidRPr="00E624C8" w:rsidRDefault="00E624C8" w:rsidP="00E624C8">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lang w:val="en-US"/>
        </w:rPr>
      </w:pPr>
      <w:r w:rsidRPr="00E624C8">
        <w:rPr>
          <w:rFonts w:ascii="Times New Roman" w:hAnsi="Times New Roman"/>
          <w:color w:val="C45911" w:themeColor="accent2" w:themeShade="BF"/>
          <w:lang w:val="en-US"/>
        </w:rPr>
        <w:t>=&gt;</w:t>
      </w:r>
      <w:r w:rsidRPr="00E624C8">
        <w:rPr>
          <w:rFonts w:ascii="Times New Roman" w:hAnsi="Times New Roman"/>
          <w:color w:val="C45911" w:themeColor="accent2" w:themeShade="BF"/>
          <w:lang w:val="en-US"/>
        </w:rPr>
        <w:tab/>
        <w:t xml:space="preserve">RAN2 will consider extending the DRX cycle length to 10.24 in idle and inactive mode. </w:t>
      </w:r>
    </w:p>
    <w:p w14:paraId="79C2F243" w14:textId="77777777" w:rsidR="00E624C8" w:rsidRPr="00E624C8" w:rsidRDefault="00E624C8" w:rsidP="00E624C8">
      <w:pPr>
        <w:pStyle w:val="Doc-text2"/>
        <w:pBdr>
          <w:top w:val="single" w:sz="4" w:space="1" w:color="auto"/>
          <w:left w:val="single" w:sz="4" w:space="4" w:color="auto"/>
          <w:bottom w:val="single" w:sz="4" w:space="1" w:color="auto"/>
          <w:right w:val="single" w:sz="4" w:space="4" w:color="auto"/>
        </w:pBdr>
        <w:spacing w:after="200"/>
        <w:ind w:left="726"/>
        <w:rPr>
          <w:rFonts w:ascii="Times New Roman" w:hAnsi="Times New Roman"/>
          <w:color w:val="C45911" w:themeColor="accent2" w:themeShade="BF"/>
          <w:lang w:val="en-US"/>
        </w:rPr>
      </w:pPr>
      <w:r w:rsidRPr="00E624C8">
        <w:rPr>
          <w:rFonts w:ascii="Times New Roman" w:hAnsi="Times New Roman"/>
          <w:color w:val="C45911" w:themeColor="accent2" w:themeShade="BF"/>
          <w:lang w:val="en-US"/>
        </w:rPr>
        <w:t>=&gt;</w:t>
      </w:r>
      <w:r w:rsidRPr="00E624C8">
        <w:rPr>
          <w:rFonts w:ascii="Times New Roman" w:hAnsi="Times New Roman"/>
          <w:color w:val="C45911" w:themeColor="accent2" w:themeShade="BF"/>
          <w:lang w:val="en-US"/>
        </w:rPr>
        <w:tab/>
        <w:t>RAN2 will not study increasing it above 10.24s in this SID</w:t>
      </w:r>
    </w:p>
    <w:p w14:paraId="6B4F6A7B" w14:textId="0F7D7C66" w:rsidR="00E624C8" w:rsidRPr="00E624C8" w:rsidRDefault="007E0288" w:rsidP="00BE0EBF">
      <w:pPr>
        <w:rPr>
          <w:lang w:eastAsia="zh-CN"/>
        </w:rPr>
      </w:pPr>
      <w:r>
        <w:rPr>
          <w:lang w:eastAsia="zh-CN"/>
        </w:rPr>
        <w:t xml:space="preserve">In this contribution </w:t>
      </w:r>
      <w:proofErr w:type="spellStart"/>
      <w:r w:rsidRPr="007E0288">
        <w:rPr>
          <w:lang w:eastAsia="zh-CN"/>
        </w:rPr>
        <w:t>eDRX</w:t>
      </w:r>
      <w:proofErr w:type="spellEnd"/>
      <w:r w:rsidRPr="007E0288">
        <w:rPr>
          <w:lang w:eastAsia="zh-CN"/>
        </w:rPr>
        <w:t xml:space="preserve"> in Idle and Inactive mode</w:t>
      </w:r>
      <w:r>
        <w:rPr>
          <w:lang w:eastAsia="zh-CN"/>
        </w:rPr>
        <w:t xml:space="preserve"> is discussed further.</w:t>
      </w:r>
    </w:p>
    <w:p w14:paraId="6F8A1D5D" w14:textId="0EA5B62E" w:rsidR="004D10CC" w:rsidRDefault="004D10CC" w:rsidP="004D10CC">
      <w:pPr>
        <w:pStyle w:val="Heading1"/>
      </w:pPr>
      <w:bookmarkStart w:id="1" w:name="_Toc242573354"/>
      <w:r>
        <w:t>Background</w:t>
      </w:r>
    </w:p>
    <w:p w14:paraId="064AAC26" w14:textId="611ECA54" w:rsidR="00872D59" w:rsidRPr="0022154F" w:rsidRDefault="00E62206" w:rsidP="00872D59">
      <w:pPr>
        <w:rPr>
          <w:b/>
          <w:u w:val="single"/>
          <w:lang w:val="en-GB" w:eastAsia="zh-CN"/>
        </w:rPr>
      </w:pPr>
      <w:r>
        <w:rPr>
          <w:b/>
          <w:u w:val="single"/>
          <w:lang w:val="en-GB" w:eastAsia="zh-CN"/>
        </w:rPr>
        <w:t>DRX in Idle mode</w:t>
      </w:r>
      <w:r w:rsidR="003E0C22">
        <w:rPr>
          <w:b/>
          <w:u w:val="single"/>
          <w:lang w:val="en-GB" w:eastAsia="zh-CN"/>
        </w:rPr>
        <w:t xml:space="preserve"> for NB-IoT</w:t>
      </w:r>
    </w:p>
    <w:p w14:paraId="2B5EDA1B" w14:textId="5B18705F" w:rsidR="0022154F" w:rsidRDefault="0022154F" w:rsidP="00872D59">
      <w:pPr>
        <w:rPr>
          <w:lang w:val="en-GB" w:eastAsia="zh-CN"/>
        </w:rPr>
      </w:pPr>
      <w:r>
        <w:rPr>
          <w:lang w:val="en-GB" w:eastAsia="zh-CN"/>
        </w:rPr>
        <w:t xml:space="preserve">The </w:t>
      </w:r>
      <w:r w:rsidR="005D6CCC">
        <w:rPr>
          <w:lang w:val="en-GB" w:eastAsia="zh-CN"/>
        </w:rPr>
        <w:t xml:space="preserve">DRX cycle in Idle mode for NB-IoT device can be configured between 1.28 and 10.24 seconds. It should be noted that NB-IoT is </w:t>
      </w:r>
      <w:r w:rsidR="00E11EE1">
        <w:rPr>
          <w:lang w:val="en-GB" w:eastAsia="zh-CN"/>
        </w:rPr>
        <w:t xml:space="preserve">for stationary and low mobility UEs. </w:t>
      </w:r>
      <w:r w:rsidR="00D51F05">
        <w:rPr>
          <w:lang w:val="en-GB" w:eastAsia="zh-CN"/>
        </w:rPr>
        <w:t xml:space="preserve">The </w:t>
      </w:r>
      <w:r w:rsidR="004F063D">
        <w:rPr>
          <w:lang w:val="en-GB" w:eastAsia="zh-CN"/>
        </w:rPr>
        <w:t xml:space="preserve">RAN4 </w:t>
      </w:r>
      <w:r w:rsidR="00D51F05">
        <w:rPr>
          <w:lang w:val="en-GB" w:eastAsia="zh-CN"/>
        </w:rPr>
        <w:t xml:space="preserve">measurement requirements are defined in section 4.6 in 36.133. </w:t>
      </w:r>
      <w:r w:rsidR="00CA35EE">
        <w:rPr>
          <w:lang w:val="en-GB" w:eastAsia="zh-CN"/>
        </w:rPr>
        <w:t xml:space="preserve">The UE is required to filter the NRSRP/NRSRQ measurement of the serving cell using at least 2 measurements. </w:t>
      </w:r>
    </w:p>
    <w:p w14:paraId="539BC261" w14:textId="28A5B44D" w:rsidR="003562BE" w:rsidRPr="003562BE" w:rsidRDefault="003562BE" w:rsidP="00872D59">
      <w:pPr>
        <w:rPr>
          <w:b/>
          <w:u w:val="single"/>
          <w:lang w:val="en-GB" w:eastAsia="zh-CN"/>
        </w:rPr>
      </w:pPr>
      <w:r w:rsidRPr="003562BE">
        <w:rPr>
          <w:b/>
          <w:u w:val="single"/>
          <w:lang w:val="en-GB" w:eastAsia="zh-CN"/>
        </w:rPr>
        <w:t>LongDRX in NR</w:t>
      </w:r>
    </w:p>
    <w:p w14:paraId="4BE0B96D" w14:textId="0964DC5D" w:rsidR="001610DC" w:rsidRDefault="009E035E" w:rsidP="00872D59">
      <w:pPr>
        <w:rPr>
          <w:lang w:val="en-GB" w:eastAsia="zh-CN"/>
        </w:rPr>
      </w:pPr>
      <w:r>
        <w:rPr>
          <w:lang w:val="en-GB" w:eastAsia="zh-CN"/>
        </w:rPr>
        <w:t xml:space="preserve">The Short DRX cycle </w:t>
      </w:r>
      <w:proofErr w:type="spellStart"/>
      <w:r>
        <w:rPr>
          <w:lang w:val="en-GB" w:eastAsia="zh-CN"/>
        </w:rPr>
        <w:t>lengh</w:t>
      </w:r>
      <w:proofErr w:type="spellEnd"/>
      <w:r>
        <w:rPr>
          <w:lang w:val="en-GB" w:eastAsia="zh-CN"/>
        </w:rPr>
        <w:t xml:space="preserve"> </w:t>
      </w:r>
      <w:r w:rsidR="008F2A88">
        <w:rPr>
          <w:lang w:val="en-GB" w:eastAsia="zh-CN"/>
        </w:rPr>
        <w:t>(</w:t>
      </w:r>
      <w:proofErr w:type="spellStart"/>
      <w:r w:rsidR="008F2A88" w:rsidRPr="008F2A88">
        <w:rPr>
          <w:i/>
        </w:rPr>
        <w:t>drx-ShortCycle</w:t>
      </w:r>
      <w:proofErr w:type="spellEnd"/>
      <w:r w:rsidR="008F2A88">
        <w:rPr>
          <w:lang w:val="en-GB" w:eastAsia="zh-CN"/>
        </w:rPr>
        <w:t xml:space="preserve">) </w:t>
      </w:r>
      <w:r>
        <w:rPr>
          <w:lang w:val="en-GB" w:eastAsia="zh-CN"/>
        </w:rPr>
        <w:t>ranges between</w:t>
      </w:r>
      <w:r w:rsidR="008525D5">
        <w:rPr>
          <w:lang w:val="en-GB" w:eastAsia="zh-CN"/>
        </w:rPr>
        <w:t xml:space="preserve"> 2 </w:t>
      </w:r>
      <w:proofErr w:type="spellStart"/>
      <w:r w:rsidR="008525D5">
        <w:rPr>
          <w:lang w:val="en-GB" w:eastAsia="zh-CN"/>
        </w:rPr>
        <w:t>ms</w:t>
      </w:r>
      <w:proofErr w:type="spellEnd"/>
      <w:r w:rsidR="008525D5">
        <w:rPr>
          <w:lang w:val="en-GB" w:eastAsia="zh-CN"/>
        </w:rPr>
        <w:t xml:space="preserve"> and 640 </w:t>
      </w:r>
      <w:proofErr w:type="spellStart"/>
      <w:r w:rsidR="008525D5">
        <w:rPr>
          <w:lang w:val="en-GB" w:eastAsia="zh-CN"/>
        </w:rPr>
        <w:t>ms</w:t>
      </w:r>
      <w:proofErr w:type="spellEnd"/>
      <w:r w:rsidR="008F2A88">
        <w:rPr>
          <w:lang w:val="en-GB" w:eastAsia="zh-CN"/>
        </w:rPr>
        <w:t xml:space="preserve">. </w:t>
      </w:r>
      <w:r w:rsidR="00536FA1">
        <w:rPr>
          <w:lang w:val="en-GB" w:eastAsia="zh-CN"/>
        </w:rPr>
        <w:t>T</w:t>
      </w:r>
      <w:r w:rsidR="008F2A88">
        <w:rPr>
          <w:lang w:val="en-GB" w:eastAsia="zh-CN"/>
        </w:rPr>
        <w:t>he Long DRX cycle length (</w:t>
      </w:r>
      <w:proofErr w:type="spellStart"/>
      <w:r w:rsidR="008F2A88" w:rsidRPr="008F2A88">
        <w:rPr>
          <w:i/>
        </w:rPr>
        <w:t>drx-LongCycleStartOffset</w:t>
      </w:r>
      <w:proofErr w:type="spellEnd"/>
      <w:r w:rsidR="008F2A88">
        <w:rPr>
          <w:lang w:val="en-GB" w:eastAsia="zh-CN"/>
        </w:rPr>
        <w:t xml:space="preserve">) ranges between 10 </w:t>
      </w:r>
      <w:proofErr w:type="spellStart"/>
      <w:r w:rsidR="008F2A88">
        <w:rPr>
          <w:lang w:val="en-GB" w:eastAsia="zh-CN"/>
        </w:rPr>
        <w:t>ms</w:t>
      </w:r>
      <w:proofErr w:type="spellEnd"/>
      <w:r w:rsidR="008F2A88">
        <w:rPr>
          <w:lang w:val="en-GB" w:eastAsia="zh-CN"/>
        </w:rPr>
        <w:t xml:space="preserve"> and </w:t>
      </w:r>
      <w:r w:rsidR="00802567">
        <w:rPr>
          <w:lang w:val="en-GB" w:eastAsia="zh-CN"/>
        </w:rPr>
        <w:t>10.24</w:t>
      </w:r>
      <w:r w:rsidR="008F2A88">
        <w:rPr>
          <w:lang w:val="en-GB" w:eastAsia="zh-CN"/>
        </w:rPr>
        <w:t xml:space="preserve"> sec. </w:t>
      </w:r>
    </w:p>
    <w:p w14:paraId="5F67C575" w14:textId="763EB484" w:rsidR="00A2051A" w:rsidRPr="00044AEE" w:rsidRDefault="0069331A" w:rsidP="00872D59">
      <w:pPr>
        <w:rPr>
          <w:lang w:val="en-GB" w:eastAsia="zh-CN"/>
        </w:rPr>
      </w:pPr>
      <w:r>
        <w:rPr>
          <w:lang w:val="en-GB" w:eastAsia="zh-CN"/>
        </w:rPr>
        <w:t xml:space="preserve">The reference DRX configurations for connected mode include 40 and 640 </w:t>
      </w:r>
      <w:proofErr w:type="spellStart"/>
      <w:r>
        <w:rPr>
          <w:lang w:val="en-GB" w:eastAsia="zh-CN"/>
        </w:rPr>
        <w:t>ms</w:t>
      </w:r>
      <w:proofErr w:type="spellEnd"/>
      <w:r>
        <w:rPr>
          <w:lang w:val="en-GB" w:eastAsia="zh-CN"/>
        </w:rPr>
        <w:t xml:space="preserve"> </w:t>
      </w:r>
      <w:r w:rsidRPr="00D14142">
        <w:rPr>
          <w:i/>
          <w:lang w:val="en-GB" w:eastAsia="zh-CN"/>
        </w:rPr>
        <w:t>LongDRX cycle</w:t>
      </w:r>
      <w:r>
        <w:rPr>
          <w:lang w:val="en-GB" w:eastAsia="zh-CN"/>
        </w:rPr>
        <w:t xml:space="preserve"> (see section A.3.3 in 38.133). </w:t>
      </w:r>
      <w:r w:rsidR="00A2051A">
        <w:rPr>
          <w:lang w:val="en-GB" w:eastAsia="zh-CN"/>
        </w:rPr>
        <w:t xml:space="preserve">Test cases are defined with 40 and 640 </w:t>
      </w:r>
      <w:proofErr w:type="spellStart"/>
      <w:r w:rsidR="00A2051A">
        <w:rPr>
          <w:lang w:val="en-GB" w:eastAsia="zh-CN"/>
        </w:rPr>
        <w:t>ms</w:t>
      </w:r>
      <w:proofErr w:type="spellEnd"/>
      <w:r w:rsidR="00A2051A">
        <w:rPr>
          <w:lang w:val="en-GB" w:eastAsia="zh-CN"/>
        </w:rPr>
        <w:t xml:space="preserve"> </w:t>
      </w:r>
      <w:r w:rsidR="00A2051A" w:rsidRPr="00D14142">
        <w:rPr>
          <w:i/>
          <w:lang w:val="en-GB" w:eastAsia="zh-CN"/>
        </w:rPr>
        <w:t>LongDRX cycle</w:t>
      </w:r>
      <w:r w:rsidR="00A2051A">
        <w:rPr>
          <w:lang w:val="en-GB" w:eastAsia="zh-CN"/>
        </w:rPr>
        <w:t xml:space="preserve"> (e.g. see </w:t>
      </w:r>
      <w:r w:rsidR="00A2051A" w:rsidRPr="003445FB">
        <w:t>A.4.5.5.2</w:t>
      </w:r>
      <w:r w:rsidRPr="0069331A">
        <w:rPr>
          <w:lang w:val="en-GB" w:eastAsia="zh-CN"/>
        </w:rPr>
        <w:t xml:space="preserve"> </w:t>
      </w:r>
      <w:r>
        <w:rPr>
          <w:lang w:val="en-GB" w:eastAsia="zh-CN"/>
        </w:rPr>
        <w:t>in 38.133</w:t>
      </w:r>
      <w:r w:rsidR="00A2051A">
        <w:t xml:space="preserve">). </w:t>
      </w:r>
    </w:p>
    <w:p w14:paraId="01416867" w14:textId="7E9EFDE9" w:rsidR="005D2B60" w:rsidRDefault="005D2B60" w:rsidP="00872D59">
      <w:pPr>
        <w:rPr>
          <w:b/>
          <w:u w:val="single"/>
          <w:lang w:val="en-GB" w:eastAsia="zh-CN"/>
        </w:rPr>
      </w:pPr>
      <w:r>
        <w:rPr>
          <w:b/>
          <w:u w:val="single"/>
          <w:lang w:val="en-GB" w:eastAsia="zh-CN"/>
        </w:rPr>
        <w:t>Default Paging DRX cycle in Idle and Inactive mode</w:t>
      </w:r>
    </w:p>
    <w:p w14:paraId="0C299C05" w14:textId="49DE88B6" w:rsidR="008B5C1B" w:rsidRDefault="008B5C1B" w:rsidP="008B5C1B">
      <w:r>
        <w:rPr>
          <w:lang w:val="en-GB" w:eastAsia="zh-CN"/>
        </w:rPr>
        <w:t>The</w:t>
      </w:r>
      <w:r w:rsidR="00601A2D">
        <w:rPr>
          <w:lang w:val="en-GB" w:eastAsia="zh-CN"/>
        </w:rPr>
        <w:t xml:space="preserve"> common</w:t>
      </w:r>
      <w:r>
        <w:rPr>
          <w:lang w:val="en-GB" w:eastAsia="zh-CN"/>
        </w:rPr>
        <w:t xml:space="preserve"> </w:t>
      </w:r>
      <w:proofErr w:type="spellStart"/>
      <w:r w:rsidRPr="00F44D0D">
        <w:rPr>
          <w:i/>
        </w:rPr>
        <w:t>defaultPagingCycle</w:t>
      </w:r>
      <w:proofErr w:type="spellEnd"/>
      <w:r>
        <w:rPr>
          <w:lang w:val="en-GB" w:eastAsia="zh-CN"/>
        </w:rPr>
        <w:t xml:space="preserve"> in Idle </w:t>
      </w:r>
      <w:r w:rsidR="00601A2D">
        <w:rPr>
          <w:lang w:val="en-GB" w:eastAsia="zh-CN"/>
        </w:rPr>
        <w:t xml:space="preserve">and Inactive </w:t>
      </w:r>
      <w:r>
        <w:rPr>
          <w:lang w:val="en-GB" w:eastAsia="zh-CN"/>
        </w:rPr>
        <w:t xml:space="preserve">mode </w:t>
      </w:r>
      <w:r w:rsidR="005D2B60">
        <w:rPr>
          <w:lang w:val="en-GB" w:eastAsia="zh-CN"/>
        </w:rPr>
        <w:t>in system information can be configured</w:t>
      </w:r>
      <w:r>
        <w:t xml:space="preserve"> </w:t>
      </w:r>
      <w:r w:rsidR="00A8258B" w:rsidRPr="00645E3C">
        <w:t>{rf32, rf64, rf128, rf256}</w:t>
      </w:r>
      <w:r w:rsidR="00A8258B">
        <w:t xml:space="preserve"> radio frames</w:t>
      </w:r>
      <w:r w:rsidR="00A8258B">
        <w:rPr>
          <w:lang w:val="en-GB" w:eastAsia="zh-CN"/>
        </w:rPr>
        <w:t>.</w:t>
      </w:r>
    </w:p>
    <w:p w14:paraId="72B931FB" w14:textId="77777777" w:rsidR="005D2B60" w:rsidRPr="00B72AEF" w:rsidRDefault="005D2B60" w:rsidP="005D2B60">
      <w:pPr>
        <w:rPr>
          <w:b/>
          <w:u w:val="single"/>
          <w:lang w:val="en-GB" w:eastAsia="zh-CN"/>
        </w:rPr>
      </w:pPr>
      <w:r w:rsidRPr="00B72AEF">
        <w:rPr>
          <w:b/>
          <w:u w:val="single"/>
          <w:lang w:val="en-GB" w:eastAsia="zh-CN"/>
        </w:rPr>
        <w:t>UE specific DRX cycle in 5G CN</w:t>
      </w:r>
    </w:p>
    <w:p w14:paraId="24E2EDD3" w14:textId="72006DC2" w:rsidR="005D235A" w:rsidRDefault="008B5C1B" w:rsidP="008B5C1B">
      <w:r>
        <w:t xml:space="preserve">In NR the UE can </w:t>
      </w:r>
      <w:r w:rsidR="00E222D7">
        <w:t xml:space="preserve">(truly) </w:t>
      </w:r>
      <w:r>
        <w:t>negotiate a UE specific DRX cycle with the AMF, see section 5.4.5 in TS 23.501</w:t>
      </w:r>
      <w:r w:rsidR="005E15C6">
        <w:t xml:space="preserve"> (stage 2 </w:t>
      </w:r>
      <w:r w:rsidR="008B77BA">
        <w:t xml:space="preserve">5G </w:t>
      </w:r>
      <w:r w:rsidR="005E15C6">
        <w:t xml:space="preserve">architecture) and TS 23.502 (stage 2 </w:t>
      </w:r>
      <w:r w:rsidR="008B77BA">
        <w:t xml:space="preserve">5G </w:t>
      </w:r>
      <w:r w:rsidR="005E15C6">
        <w:t>procedures)</w:t>
      </w:r>
      <w:r>
        <w:t xml:space="preserve">. The UE can indicate a </w:t>
      </w:r>
      <w:r w:rsidRPr="00F91ACF">
        <w:rPr>
          <w:b/>
        </w:rPr>
        <w:t>preferred</w:t>
      </w:r>
      <w:r>
        <w:t xml:space="preserve"> DRX cycle in the </w:t>
      </w:r>
      <w:r w:rsidR="00607614">
        <w:t xml:space="preserve">initial or mobility </w:t>
      </w:r>
      <w:r>
        <w:t xml:space="preserve">registration procedure. The AMF responds with the </w:t>
      </w:r>
      <w:r w:rsidRPr="00F91ACF">
        <w:rPr>
          <w:b/>
        </w:rPr>
        <w:t>accepted</w:t>
      </w:r>
      <w:r>
        <w:t xml:space="preserve"> DRX cycle. </w:t>
      </w:r>
      <w:r w:rsidR="002A1E2D">
        <w:t xml:space="preserve">The preferred/accepted DRX cycle value range is {32, 64, 128, 256} radio frames. </w:t>
      </w:r>
      <w:r w:rsidR="00B045F5">
        <w:t>This negotiation mechanism is not supported in the EPS</w:t>
      </w:r>
      <w:r w:rsidR="009647EA">
        <w:t>.</w:t>
      </w:r>
      <w:r w:rsidR="00B404D4">
        <w:t xml:space="preserve"> </w:t>
      </w:r>
    </w:p>
    <w:p w14:paraId="04BA3BBE" w14:textId="6619F08F" w:rsidR="009725D1" w:rsidRDefault="004C7E14" w:rsidP="008B5C1B">
      <w:pPr>
        <w:rPr>
          <w:lang w:eastAsia="ko-KR"/>
        </w:rPr>
      </w:pPr>
      <w:r>
        <w:lastRenderedPageBreak/>
        <w:t xml:space="preserve">The </w:t>
      </w:r>
      <w:r w:rsidRPr="0051517D">
        <w:rPr>
          <w:i/>
        </w:rPr>
        <w:t>UE specific DRX cycle</w:t>
      </w:r>
      <w:r>
        <w:t xml:space="preserve"> </w:t>
      </w:r>
      <w:r w:rsidR="00200393">
        <w:t xml:space="preserve">in NAS protocol is </w:t>
      </w:r>
      <w:r w:rsidR="003B51D9">
        <w:t xml:space="preserve">referred to as </w:t>
      </w:r>
      <w:r w:rsidR="003B51D9" w:rsidRPr="0051517D">
        <w:rPr>
          <w:i/>
        </w:rPr>
        <w:t>5GS DRX parameters</w:t>
      </w:r>
      <w:r w:rsidR="0051517D">
        <w:t xml:space="preserve">, see </w:t>
      </w:r>
      <w:r w:rsidR="003B51D9">
        <w:t xml:space="preserve">section </w:t>
      </w:r>
      <w:r w:rsidR="0051517D" w:rsidRPr="0051517D">
        <w:t xml:space="preserve">9.11.3.2A </w:t>
      </w:r>
      <w:r w:rsidR="0051517D">
        <w:t xml:space="preserve">in </w:t>
      </w:r>
      <w:r w:rsidR="00200393">
        <w:rPr>
          <w:lang w:eastAsia="ko-KR"/>
        </w:rPr>
        <w:t>2</w:t>
      </w:r>
      <w:r w:rsidR="00D85F6F">
        <w:rPr>
          <w:lang w:eastAsia="ko-KR"/>
        </w:rPr>
        <w:t>4</w:t>
      </w:r>
      <w:r w:rsidR="00200393">
        <w:rPr>
          <w:lang w:eastAsia="ko-KR"/>
        </w:rPr>
        <w:t>.</w:t>
      </w:r>
      <w:r w:rsidR="00D85F6F">
        <w:rPr>
          <w:lang w:eastAsia="ko-KR"/>
        </w:rPr>
        <w:t>5</w:t>
      </w:r>
      <w:r w:rsidR="00200393">
        <w:rPr>
          <w:lang w:eastAsia="ko-KR"/>
        </w:rPr>
        <w:t>01</w:t>
      </w:r>
      <w:r w:rsidR="0051517D">
        <w:rPr>
          <w:lang w:eastAsia="ko-KR"/>
        </w:rPr>
        <w:t xml:space="preserve"> (</w:t>
      </w:r>
      <w:r w:rsidR="0078486D">
        <w:rPr>
          <w:lang w:eastAsia="ko-KR"/>
        </w:rPr>
        <w:t xml:space="preserve">{32, 64, 128, 256, DRX value not specified}). </w:t>
      </w:r>
    </w:p>
    <w:p w14:paraId="310BE577" w14:textId="0D4D66AC" w:rsidR="008A6AFF" w:rsidRPr="00AC54BC" w:rsidRDefault="008A6AFF" w:rsidP="004D10CC">
      <w:pPr>
        <w:rPr>
          <w:lang w:val="en-GB" w:eastAsia="zh-CN"/>
        </w:rPr>
      </w:pPr>
      <w:r w:rsidRPr="00AC54BC">
        <w:rPr>
          <w:lang w:val="en-GB" w:eastAsia="zh-CN"/>
        </w:rPr>
        <w:t xml:space="preserve">The </w:t>
      </w:r>
      <w:r w:rsidR="00777601">
        <w:rPr>
          <w:lang w:val="en-GB" w:eastAsia="zh-CN"/>
        </w:rPr>
        <w:t>PAGING</w:t>
      </w:r>
      <w:r w:rsidRPr="00AC54BC">
        <w:rPr>
          <w:lang w:val="en-GB" w:eastAsia="zh-CN"/>
        </w:rPr>
        <w:t xml:space="preserve"> message on N1 interface between AMF and gNB includes the Paging DRX </w:t>
      </w:r>
      <w:r w:rsidRPr="00AC54BC">
        <w:t>{32, 64, 128, 256} radio frames</w:t>
      </w:r>
      <w:r w:rsidR="00D14142" w:rsidRPr="00AC54BC">
        <w:rPr>
          <w:lang w:val="en-GB" w:eastAsia="zh-CN"/>
        </w:rPr>
        <w:t xml:space="preserve">. </w:t>
      </w:r>
    </w:p>
    <w:p w14:paraId="72206242" w14:textId="764CC05E" w:rsidR="00AC54BC" w:rsidRPr="00AC54BC" w:rsidRDefault="00AC54BC" w:rsidP="004D10CC">
      <w:pPr>
        <w:rPr>
          <w:b/>
          <w:u w:val="single"/>
          <w:lang w:val="en-GB" w:eastAsia="zh-CN"/>
        </w:rPr>
      </w:pPr>
      <w:r w:rsidRPr="00AC54BC">
        <w:rPr>
          <w:b/>
          <w:u w:val="single"/>
          <w:lang w:val="en-GB" w:eastAsia="zh-CN"/>
        </w:rPr>
        <w:t>UE specific DRX cycle in Inactive mode</w:t>
      </w:r>
    </w:p>
    <w:p w14:paraId="797CCDE1" w14:textId="545E812F" w:rsidR="00AC54BC" w:rsidRDefault="00AC54BC" w:rsidP="004D10CC">
      <w:pPr>
        <w:rPr>
          <w:lang w:val="en-GB" w:eastAsia="zh-CN"/>
        </w:rPr>
      </w:pPr>
      <w:r>
        <w:rPr>
          <w:lang w:val="en-GB" w:eastAsia="zh-CN"/>
        </w:rPr>
        <w:t xml:space="preserve">The gNB can assign a UE specific DRX cycle in Inactive mode </w:t>
      </w:r>
      <w:r w:rsidR="00FA4179">
        <w:rPr>
          <w:lang w:val="en-GB" w:eastAsia="zh-CN"/>
        </w:rPr>
        <w:t xml:space="preserve">with the </w:t>
      </w:r>
      <w:r w:rsidR="00FA4179" w:rsidRPr="00FA4179">
        <w:rPr>
          <w:i/>
        </w:rPr>
        <w:t>ran-PagingCycle</w:t>
      </w:r>
      <w:r w:rsidR="00FA4179">
        <w:rPr>
          <w:lang w:val="en-GB" w:eastAsia="zh-CN"/>
        </w:rPr>
        <w:t xml:space="preserve"> in </w:t>
      </w:r>
      <w:proofErr w:type="spellStart"/>
      <w:r w:rsidR="00FA4179" w:rsidRPr="00FA4179">
        <w:rPr>
          <w:i/>
        </w:rPr>
        <w:t>SuspendConfig</w:t>
      </w:r>
      <w:proofErr w:type="spellEnd"/>
      <w:r w:rsidR="00FA4179">
        <w:rPr>
          <w:lang w:val="en-GB" w:eastAsia="zh-CN"/>
        </w:rPr>
        <w:t xml:space="preserve"> IE</w:t>
      </w:r>
      <w:r>
        <w:rPr>
          <w:lang w:val="en-GB" w:eastAsia="zh-CN"/>
        </w:rPr>
        <w:t xml:space="preserve"> </w:t>
      </w:r>
      <w:r w:rsidR="00FA4179">
        <w:rPr>
          <w:lang w:val="en-GB" w:eastAsia="zh-CN"/>
        </w:rPr>
        <w:t xml:space="preserve">in </w:t>
      </w:r>
      <w:proofErr w:type="spellStart"/>
      <w:r w:rsidR="00FA4179" w:rsidRPr="00FA4179">
        <w:rPr>
          <w:i/>
          <w:lang w:val="en-GB" w:eastAsia="zh-CN"/>
        </w:rPr>
        <w:t>RRCRelease</w:t>
      </w:r>
      <w:proofErr w:type="spellEnd"/>
      <w:r w:rsidR="00FA4179">
        <w:rPr>
          <w:lang w:val="en-GB" w:eastAsia="zh-CN"/>
        </w:rPr>
        <w:t xml:space="preserve"> message. </w:t>
      </w:r>
      <w:r w:rsidR="001110F7">
        <w:rPr>
          <w:lang w:val="en-GB" w:eastAsia="zh-CN"/>
        </w:rPr>
        <w:t xml:space="preserve">The </w:t>
      </w:r>
      <w:r w:rsidR="001110F7" w:rsidRPr="00FA4179">
        <w:rPr>
          <w:i/>
        </w:rPr>
        <w:t>ran-PagingCycle</w:t>
      </w:r>
      <w:r w:rsidR="001110F7">
        <w:rPr>
          <w:lang w:val="en-GB" w:eastAsia="zh-CN"/>
        </w:rPr>
        <w:t xml:space="preserve"> has the same value range as the </w:t>
      </w:r>
      <w:proofErr w:type="spellStart"/>
      <w:r w:rsidR="001110F7" w:rsidRPr="001110F7">
        <w:rPr>
          <w:i/>
          <w:lang w:val="en-GB" w:eastAsia="zh-CN"/>
        </w:rPr>
        <w:t>defaultPagingCycle</w:t>
      </w:r>
      <w:proofErr w:type="spellEnd"/>
      <w:r w:rsidR="001110F7">
        <w:rPr>
          <w:lang w:val="en-GB" w:eastAsia="zh-CN"/>
        </w:rPr>
        <w:t xml:space="preserve"> in system information</w:t>
      </w:r>
      <w:r w:rsidR="00DA6F2D">
        <w:rPr>
          <w:lang w:val="en-GB" w:eastAsia="zh-CN"/>
        </w:rPr>
        <w:t xml:space="preserve">, i.e. </w:t>
      </w:r>
      <w:r w:rsidR="001110F7" w:rsidRPr="00645E3C">
        <w:t>{rf32, rf64, rf128, rf256}</w:t>
      </w:r>
      <w:r w:rsidR="00DA6F2D">
        <w:t xml:space="preserve"> radio frames</w:t>
      </w:r>
      <w:r w:rsidR="001110F7">
        <w:rPr>
          <w:lang w:val="en-GB" w:eastAsia="zh-CN"/>
        </w:rPr>
        <w:t>.</w:t>
      </w:r>
    </w:p>
    <w:p w14:paraId="1BE77761" w14:textId="3CE24EA4" w:rsidR="001110F7" w:rsidRPr="001110F7" w:rsidRDefault="001110F7" w:rsidP="004D10CC">
      <w:pPr>
        <w:rPr>
          <w:b/>
          <w:u w:val="single"/>
          <w:lang w:val="en-GB" w:eastAsia="zh-CN"/>
        </w:rPr>
      </w:pPr>
      <w:r w:rsidRPr="001110F7">
        <w:rPr>
          <w:b/>
          <w:u w:val="single"/>
          <w:lang w:val="en-GB" w:eastAsia="zh-CN"/>
        </w:rPr>
        <w:t>Paging monitoring</w:t>
      </w:r>
    </w:p>
    <w:p w14:paraId="50EFBC13" w14:textId="1846606C" w:rsidR="001110F7" w:rsidRDefault="001110F7" w:rsidP="004D10CC">
      <w:pPr>
        <w:rPr>
          <w:lang w:val="en-GB" w:eastAsia="zh-CN"/>
        </w:rPr>
      </w:pPr>
      <w:r>
        <w:rPr>
          <w:lang w:val="en-GB" w:eastAsia="zh-CN"/>
        </w:rPr>
        <w:t>As specified in section in 38.304 the UE uses the shortest DRX cycle of the UE specific DRX cycl</w:t>
      </w:r>
      <w:r w:rsidR="00090A12">
        <w:rPr>
          <w:lang w:val="en-GB" w:eastAsia="zh-CN"/>
        </w:rPr>
        <w:t>e</w:t>
      </w:r>
      <w:r w:rsidR="00F71616">
        <w:rPr>
          <w:lang w:val="en-GB" w:eastAsia="zh-CN"/>
        </w:rPr>
        <w:t xml:space="preserve"> (</w:t>
      </w:r>
      <w:r w:rsidR="002A582A">
        <w:rPr>
          <w:lang w:val="en-GB" w:eastAsia="zh-CN"/>
        </w:rPr>
        <w:t>accepted DRX cycle via</w:t>
      </w:r>
      <w:r w:rsidR="00195D5A">
        <w:rPr>
          <w:lang w:val="en-GB" w:eastAsia="zh-CN"/>
        </w:rPr>
        <w:t xml:space="preserve"> NAS</w:t>
      </w:r>
      <w:r w:rsidR="002A582A">
        <w:rPr>
          <w:lang w:val="en-GB" w:eastAsia="zh-CN"/>
        </w:rPr>
        <w:t xml:space="preserve"> signalling</w:t>
      </w:r>
      <w:r w:rsidR="00195D5A">
        <w:rPr>
          <w:lang w:val="en-GB" w:eastAsia="zh-CN"/>
        </w:rPr>
        <w:t xml:space="preserve"> and/or</w:t>
      </w:r>
      <w:r w:rsidR="002A582A">
        <w:rPr>
          <w:lang w:val="en-GB" w:eastAsia="zh-CN"/>
        </w:rPr>
        <w:t xml:space="preserve"> </w:t>
      </w:r>
      <w:r w:rsidR="002A582A" w:rsidRPr="00FA4179">
        <w:rPr>
          <w:i/>
        </w:rPr>
        <w:t>ran-PagingCycle</w:t>
      </w:r>
      <w:r w:rsidR="002A582A">
        <w:rPr>
          <w:lang w:val="en-GB" w:eastAsia="zh-CN"/>
        </w:rPr>
        <w:t xml:space="preserve"> via</w:t>
      </w:r>
      <w:r w:rsidR="00195D5A">
        <w:rPr>
          <w:lang w:val="en-GB" w:eastAsia="zh-CN"/>
        </w:rPr>
        <w:t xml:space="preserve"> </w:t>
      </w:r>
      <w:proofErr w:type="spellStart"/>
      <w:r w:rsidR="00195D5A" w:rsidRPr="00FA4179">
        <w:rPr>
          <w:i/>
          <w:lang w:val="en-GB" w:eastAsia="zh-CN"/>
        </w:rPr>
        <w:t>RRCRelease</w:t>
      </w:r>
      <w:proofErr w:type="spellEnd"/>
      <w:r w:rsidR="00195D5A">
        <w:rPr>
          <w:lang w:val="en-GB" w:eastAsia="zh-CN"/>
        </w:rPr>
        <w:t>)</w:t>
      </w:r>
      <w:r w:rsidR="00090A12">
        <w:rPr>
          <w:lang w:val="en-GB" w:eastAsia="zh-CN"/>
        </w:rPr>
        <w:t xml:space="preserve"> </w:t>
      </w:r>
      <w:r>
        <w:rPr>
          <w:lang w:val="en-GB" w:eastAsia="zh-CN"/>
        </w:rPr>
        <w:t xml:space="preserve">and the </w:t>
      </w:r>
      <w:proofErr w:type="spellStart"/>
      <w:r w:rsidRPr="00090A12">
        <w:rPr>
          <w:i/>
          <w:lang w:val="en-GB" w:eastAsia="zh-CN"/>
        </w:rPr>
        <w:t>defaultPagingCycle</w:t>
      </w:r>
      <w:proofErr w:type="spellEnd"/>
      <w:r>
        <w:rPr>
          <w:lang w:val="en-GB" w:eastAsia="zh-CN"/>
        </w:rPr>
        <w:t xml:space="preserve"> in </w:t>
      </w:r>
      <w:r w:rsidR="00090A12">
        <w:rPr>
          <w:lang w:val="en-GB" w:eastAsia="zh-CN"/>
        </w:rPr>
        <w:t xml:space="preserve">system information. In case the UE does not have a UE specific DRX cycle, the UE uses the </w:t>
      </w:r>
      <w:proofErr w:type="spellStart"/>
      <w:r w:rsidR="00090A12" w:rsidRPr="00090A12">
        <w:rPr>
          <w:i/>
          <w:lang w:val="en-GB" w:eastAsia="zh-CN"/>
        </w:rPr>
        <w:t>defaultPagingCycle</w:t>
      </w:r>
      <w:proofErr w:type="spellEnd"/>
      <w:r w:rsidR="00090A12">
        <w:rPr>
          <w:lang w:val="en-GB" w:eastAsia="zh-CN"/>
        </w:rPr>
        <w:t xml:space="preserve"> in system information. </w:t>
      </w:r>
    </w:p>
    <w:p w14:paraId="1DEB3AB7" w14:textId="0DA18FC7" w:rsidR="00FA27C0" w:rsidRDefault="009D725A" w:rsidP="00FA27C0">
      <w:pPr>
        <w:pStyle w:val="Heading1"/>
      </w:pPr>
      <w:r>
        <w:t>Discussion</w:t>
      </w:r>
      <w:bookmarkEnd w:id="1"/>
    </w:p>
    <w:p w14:paraId="239BDEB8" w14:textId="61B29919" w:rsidR="006B41D7" w:rsidRDefault="00DD1FEC" w:rsidP="006B41D7">
      <w:pPr>
        <w:rPr>
          <w:lang w:val="en-GB" w:eastAsia="zh-CN"/>
        </w:rPr>
      </w:pPr>
      <w:r>
        <w:t xml:space="preserve">SA2 confirmed in </w:t>
      </w:r>
      <w:r w:rsidR="006B41D7">
        <w:rPr>
          <w:lang w:val="en-GB" w:eastAsia="zh-CN"/>
        </w:rPr>
        <w:t xml:space="preserve">the LS concerning CIOT [3] </w:t>
      </w:r>
      <w:r>
        <w:rPr>
          <w:lang w:val="en-GB" w:eastAsia="zh-CN"/>
        </w:rPr>
        <w:t xml:space="preserve">that </w:t>
      </w:r>
      <w:r w:rsidR="006B41D7">
        <w:rPr>
          <w:lang w:val="en-GB" w:eastAsia="zh-CN"/>
        </w:rPr>
        <w:t xml:space="preserve">there is no impact on CN to support a DRX cycle up to </w:t>
      </w:r>
      <w:r w:rsidR="00802567">
        <w:rPr>
          <w:lang w:val="en-GB" w:eastAsia="zh-CN"/>
        </w:rPr>
        <w:t>10.24</w:t>
      </w:r>
      <w:r w:rsidR="006B41D7">
        <w:rPr>
          <w:lang w:val="en-GB" w:eastAsia="zh-CN"/>
        </w:rPr>
        <w:t xml:space="preserve"> sec:</w:t>
      </w:r>
    </w:p>
    <w:p w14:paraId="02EB9F3B" w14:textId="267A53F5" w:rsidR="006B41D7" w:rsidRPr="006B41D7" w:rsidRDefault="006B41D7" w:rsidP="006B41D7">
      <w:pPr>
        <w:rPr>
          <w:lang w:val="en-GB" w:eastAsia="zh-CN"/>
        </w:rPr>
      </w:pPr>
      <w:r w:rsidRPr="00C04478">
        <w:rPr>
          <w:b/>
          <w:lang w:val="en-GB" w:eastAsia="zh-CN"/>
        </w:rPr>
        <w:t>Observation 1</w:t>
      </w:r>
      <w:r>
        <w:rPr>
          <w:lang w:val="en-GB" w:eastAsia="zh-CN"/>
        </w:rPr>
        <w:t xml:space="preserve">: There is no impact on CN to support an </w:t>
      </w:r>
      <w:proofErr w:type="spellStart"/>
      <w:r>
        <w:rPr>
          <w:lang w:val="en-GB" w:eastAsia="zh-CN"/>
        </w:rPr>
        <w:t>eDRX</w:t>
      </w:r>
      <w:proofErr w:type="spellEnd"/>
      <w:r>
        <w:rPr>
          <w:lang w:val="en-GB" w:eastAsia="zh-CN"/>
        </w:rPr>
        <w:t xml:space="preserve"> up to 10</w:t>
      </w:r>
      <w:r w:rsidR="00802567">
        <w:rPr>
          <w:lang w:val="en-GB" w:eastAsia="zh-CN"/>
        </w:rPr>
        <w:t>.</w:t>
      </w:r>
      <w:r>
        <w:rPr>
          <w:lang w:val="en-GB" w:eastAsia="zh-CN"/>
        </w:rPr>
        <w:t>24 sec</w:t>
      </w:r>
      <w:r w:rsidR="00347B89">
        <w:rPr>
          <w:lang w:val="en-GB" w:eastAsia="zh-CN"/>
        </w:rPr>
        <w:t>.</w:t>
      </w:r>
    </w:p>
    <w:p w14:paraId="2948446D" w14:textId="19E56755" w:rsidR="00FA1B07" w:rsidRDefault="006B41D7" w:rsidP="00FA1B07">
      <w:pPr>
        <w:rPr>
          <w:lang w:val="en-GB" w:eastAsia="zh-CN"/>
        </w:rPr>
      </w:pPr>
      <w:r>
        <w:rPr>
          <w:lang w:val="en-GB" w:eastAsia="zh-CN"/>
        </w:rPr>
        <w:t>However n</w:t>
      </w:r>
      <w:r w:rsidR="003C6C3C">
        <w:rPr>
          <w:lang w:val="en-GB" w:eastAsia="zh-CN"/>
        </w:rPr>
        <w:t xml:space="preserve">ot every UE may tolerate a DRX cycle up to </w:t>
      </w:r>
      <w:r w:rsidR="00802567">
        <w:rPr>
          <w:lang w:val="en-GB" w:eastAsia="zh-CN"/>
        </w:rPr>
        <w:t>10.24</w:t>
      </w:r>
      <w:r w:rsidR="003C6C3C">
        <w:rPr>
          <w:lang w:val="en-GB" w:eastAsia="zh-CN"/>
        </w:rPr>
        <w:t xml:space="preserve"> sec from a delay perspective. </w:t>
      </w:r>
      <w:r w:rsidR="00AC7FF2">
        <w:rPr>
          <w:lang w:val="en-GB" w:eastAsia="zh-CN"/>
        </w:rPr>
        <w:t xml:space="preserve">Most likely a normal mobile phone will not tolerate a paging delay up to </w:t>
      </w:r>
      <w:r w:rsidR="00802567">
        <w:rPr>
          <w:lang w:val="en-GB" w:eastAsia="zh-CN"/>
        </w:rPr>
        <w:t>10.24</w:t>
      </w:r>
      <w:r w:rsidR="00A96597">
        <w:rPr>
          <w:lang w:val="en-GB" w:eastAsia="zh-CN"/>
        </w:rPr>
        <w:t xml:space="preserve"> sec. </w:t>
      </w:r>
      <w:r w:rsidR="00FB3F22">
        <w:rPr>
          <w:lang w:val="en-GB" w:eastAsia="zh-CN"/>
        </w:rPr>
        <w:t>Therefore the UE should indicate and negotiate the preferred</w:t>
      </w:r>
      <w:r w:rsidR="00ED54C3">
        <w:rPr>
          <w:lang w:val="en-GB" w:eastAsia="zh-CN"/>
        </w:rPr>
        <w:t xml:space="preserve"> and </w:t>
      </w:r>
      <w:r w:rsidR="00FB3F22">
        <w:rPr>
          <w:lang w:val="en-GB" w:eastAsia="zh-CN"/>
        </w:rPr>
        <w:t>acceptable DRX cycle length</w:t>
      </w:r>
      <w:r w:rsidR="0077364B">
        <w:rPr>
          <w:lang w:val="en-GB" w:eastAsia="zh-CN"/>
        </w:rPr>
        <w:t xml:space="preserve"> for up to 10</w:t>
      </w:r>
      <w:r w:rsidR="00802567">
        <w:rPr>
          <w:lang w:val="en-GB" w:eastAsia="zh-CN"/>
        </w:rPr>
        <w:t>.</w:t>
      </w:r>
      <w:r w:rsidR="0077364B">
        <w:rPr>
          <w:lang w:val="en-GB" w:eastAsia="zh-CN"/>
        </w:rPr>
        <w:t>24 sec</w:t>
      </w:r>
      <w:r w:rsidR="003567A9">
        <w:rPr>
          <w:lang w:val="en-GB" w:eastAsia="zh-CN"/>
        </w:rPr>
        <w:t>:</w:t>
      </w:r>
    </w:p>
    <w:p w14:paraId="1ED0AA9E" w14:textId="5565D0D6" w:rsidR="00584739" w:rsidRDefault="00584739" w:rsidP="00584739">
      <w:pPr>
        <w:rPr>
          <w:lang w:val="en-GB" w:eastAsia="zh-CN"/>
        </w:rPr>
      </w:pPr>
      <w:r>
        <w:rPr>
          <w:b/>
          <w:lang w:val="en-GB" w:eastAsia="zh-CN"/>
        </w:rPr>
        <w:t>Observation</w:t>
      </w:r>
      <w:r w:rsidRPr="005000ED">
        <w:rPr>
          <w:b/>
          <w:lang w:val="en-GB" w:eastAsia="zh-CN"/>
        </w:rPr>
        <w:t xml:space="preserve"> </w:t>
      </w:r>
      <w:r>
        <w:rPr>
          <w:b/>
          <w:lang w:val="en-GB" w:eastAsia="zh-CN"/>
        </w:rPr>
        <w:t>2</w:t>
      </w:r>
      <w:r w:rsidRPr="005000ED">
        <w:rPr>
          <w:b/>
          <w:lang w:val="en-GB" w:eastAsia="zh-CN"/>
        </w:rPr>
        <w:t>:</w:t>
      </w:r>
      <w:r>
        <w:rPr>
          <w:lang w:val="en-GB" w:eastAsia="zh-CN"/>
        </w:rPr>
        <w:t xml:space="preserve"> The UE </w:t>
      </w:r>
      <w:r>
        <w:rPr>
          <w:lang w:val="en-GB" w:eastAsia="zh-CN"/>
        </w:rPr>
        <w:t xml:space="preserve">should </w:t>
      </w:r>
      <w:r w:rsidR="00F67576">
        <w:rPr>
          <w:lang w:val="en-GB" w:eastAsia="zh-CN"/>
        </w:rPr>
        <w:t xml:space="preserve">be able to </w:t>
      </w:r>
      <w:r w:rsidR="001C246E">
        <w:rPr>
          <w:lang w:val="en-GB" w:eastAsia="zh-CN"/>
        </w:rPr>
        <w:t>negotiate a</w:t>
      </w:r>
      <w:r w:rsidR="001C246E">
        <w:rPr>
          <w:lang w:val="en-GB" w:eastAsia="zh-CN"/>
        </w:rPr>
        <w:t xml:space="preserve"> preferred and acceptable </w:t>
      </w:r>
      <w:proofErr w:type="spellStart"/>
      <w:r w:rsidR="001C246E">
        <w:rPr>
          <w:lang w:val="en-GB" w:eastAsia="zh-CN"/>
        </w:rPr>
        <w:t>eDRX</w:t>
      </w:r>
      <w:proofErr w:type="spellEnd"/>
      <w:r w:rsidR="001C246E">
        <w:rPr>
          <w:lang w:val="en-GB" w:eastAsia="zh-CN"/>
        </w:rPr>
        <w:t xml:space="preserve"> cycle length.</w:t>
      </w:r>
    </w:p>
    <w:p w14:paraId="33C00994" w14:textId="77777777" w:rsidR="00CB2864" w:rsidRDefault="00CB2864" w:rsidP="00CB2864">
      <w:pPr>
        <w:rPr>
          <w:lang w:val="en-GB" w:eastAsia="zh-CN"/>
        </w:rPr>
      </w:pPr>
      <w:r>
        <w:rPr>
          <w:b/>
          <w:lang w:val="en-GB" w:eastAsia="zh-CN"/>
        </w:rPr>
        <w:t>Observation</w:t>
      </w:r>
      <w:r w:rsidRPr="005000ED">
        <w:rPr>
          <w:b/>
          <w:lang w:val="en-GB" w:eastAsia="zh-CN"/>
        </w:rPr>
        <w:t xml:space="preserve"> </w:t>
      </w:r>
      <w:r>
        <w:rPr>
          <w:b/>
          <w:lang w:val="en-GB" w:eastAsia="zh-CN"/>
        </w:rPr>
        <w:t>3</w:t>
      </w:r>
      <w:r w:rsidRPr="005000ED">
        <w:rPr>
          <w:b/>
          <w:lang w:val="en-GB" w:eastAsia="zh-CN"/>
        </w:rPr>
        <w:t>:</w:t>
      </w:r>
      <w:r>
        <w:rPr>
          <w:lang w:val="en-GB" w:eastAsia="zh-CN"/>
        </w:rPr>
        <w:t xml:space="preserve"> The existing UE specific DRX cycle negotiated on NAS level could be extended to </w:t>
      </w:r>
      <w:proofErr w:type="spellStart"/>
      <w:r>
        <w:rPr>
          <w:lang w:val="en-GB" w:eastAsia="zh-CN"/>
        </w:rPr>
        <w:t>eDRX</w:t>
      </w:r>
      <w:proofErr w:type="spellEnd"/>
      <w:r>
        <w:rPr>
          <w:lang w:val="en-GB" w:eastAsia="zh-CN"/>
        </w:rPr>
        <w:t>.</w:t>
      </w:r>
    </w:p>
    <w:p w14:paraId="1C355DB4" w14:textId="77777777" w:rsidR="00EA5A6F" w:rsidRDefault="00EA5A6F" w:rsidP="00EA5A6F">
      <w:pPr>
        <w:rPr>
          <w:lang w:val="en-GB" w:eastAsia="zh-CN"/>
        </w:rPr>
      </w:pPr>
      <w:r>
        <w:rPr>
          <w:lang w:val="en-GB" w:eastAsia="zh-CN"/>
        </w:rPr>
        <w:t>In 23.501 it is noted that acceptance of the preferred DRX cycle is subject to operator policy and the AMF may change the request values. This means that the AMF may accept a longer DRX cycle than the UE prefers. Perhaps it should be clarified that the AMF should not accept a longer DRX cycle than 2,56 sec (legacy DRX cycle) when the UE did not request it, because the UE may not tolerate such latency:</w:t>
      </w:r>
    </w:p>
    <w:p w14:paraId="1F19A25B" w14:textId="57861381" w:rsidR="00EA5A6F" w:rsidRDefault="00EA5A6F" w:rsidP="00EA5A6F">
      <w:pPr>
        <w:rPr>
          <w:lang w:val="en-GB" w:eastAsia="zh-CN"/>
        </w:rPr>
      </w:pPr>
      <w:r>
        <w:rPr>
          <w:b/>
          <w:lang w:val="en-GB" w:eastAsia="zh-CN"/>
        </w:rPr>
        <w:t>Observation</w:t>
      </w:r>
      <w:r w:rsidRPr="005000ED">
        <w:rPr>
          <w:b/>
          <w:lang w:val="en-GB" w:eastAsia="zh-CN"/>
        </w:rPr>
        <w:t xml:space="preserve"> </w:t>
      </w:r>
      <w:r>
        <w:rPr>
          <w:b/>
          <w:lang w:val="en-GB" w:eastAsia="zh-CN"/>
        </w:rPr>
        <w:t>4</w:t>
      </w:r>
      <w:r w:rsidRPr="005000ED">
        <w:rPr>
          <w:b/>
          <w:lang w:val="en-GB" w:eastAsia="zh-CN"/>
        </w:rPr>
        <w:t>:</w:t>
      </w:r>
      <w:r>
        <w:rPr>
          <w:lang w:val="en-GB" w:eastAsia="zh-CN"/>
        </w:rPr>
        <w:t xml:space="preserve"> </w:t>
      </w:r>
      <w:r>
        <w:rPr>
          <w:lang w:val="en-GB" w:eastAsia="zh-CN"/>
        </w:rPr>
        <w:t>The AMF should not accept a longer DRX cycle than preferred by the UE</w:t>
      </w:r>
      <w:r>
        <w:rPr>
          <w:lang w:val="en-GB" w:eastAsia="zh-CN"/>
        </w:rPr>
        <w:t>.</w:t>
      </w:r>
    </w:p>
    <w:p w14:paraId="078DCA6B" w14:textId="5A31543B" w:rsidR="00AF02A2" w:rsidRDefault="00AF02A2" w:rsidP="00FA1B07">
      <w:pPr>
        <w:rPr>
          <w:lang w:val="en-GB" w:eastAsia="zh-CN"/>
        </w:rPr>
      </w:pPr>
      <w:r>
        <w:rPr>
          <w:lang w:val="en-GB" w:eastAsia="zh-CN"/>
        </w:rPr>
        <w:t xml:space="preserve">Currently the UE </w:t>
      </w:r>
      <w:r w:rsidR="004F7D76">
        <w:rPr>
          <w:lang w:val="en-GB" w:eastAsia="zh-CN"/>
        </w:rPr>
        <w:t xml:space="preserve">uses the shortest </w:t>
      </w:r>
      <w:r w:rsidR="004F7D76">
        <w:rPr>
          <w:lang w:val="en-GB" w:eastAsia="zh-CN"/>
        </w:rPr>
        <w:t>of the UE specific DRX cycle</w:t>
      </w:r>
      <w:r w:rsidR="004F7D76">
        <w:rPr>
          <w:lang w:val="en-GB" w:eastAsia="zh-CN"/>
        </w:rPr>
        <w:t xml:space="preserve"> negotiated via NAS</w:t>
      </w:r>
      <w:r w:rsidR="00C26E25">
        <w:rPr>
          <w:lang w:val="en-GB" w:eastAsia="zh-CN"/>
        </w:rPr>
        <w:t xml:space="preserve">, </w:t>
      </w:r>
      <w:r w:rsidR="00C26E25">
        <w:rPr>
          <w:lang w:val="en-GB" w:eastAsia="zh-CN"/>
        </w:rPr>
        <w:t>the UE specific DRX cycle</w:t>
      </w:r>
      <w:r w:rsidR="004F7D76">
        <w:rPr>
          <w:lang w:val="en-GB" w:eastAsia="zh-CN"/>
        </w:rPr>
        <w:t xml:space="preserve"> indicated in </w:t>
      </w:r>
      <w:proofErr w:type="spellStart"/>
      <w:r w:rsidR="004F7D76" w:rsidRPr="004F7D76">
        <w:rPr>
          <w:i/>
          <w:lang w:val="en-GB" w:eastAsia="zh-CN"/>
        </w:rPr>
        <w:t>RRCRelease</w:t>
      </w:r>
      <w:proofErr w:type="spellEnd"/>
      <w:r w:rsidR="004F7D76">
        <w:rPr>
          <w:lang w:val="en-GB" w:eastAsia="zh-CN"/>
        </w:rPr>
        <w:t xml:space="preserve">, </w:t>
      </w:r>
      <w:r w:rsidR="00C26E25">
        <w:rPr>
          <w:lang w:val="en-GB" w:eastAsia="zh-CN"/>
        </w:rPr>
        <w:t>and</w:t>
      </w:r>
      <w:r w:rsidR="004F7D76">
        <w:rPr>
          <w:lang w:val="en-GB" w:eastAsia="zh-CN"/>
        </w:rPr>
        <w:t xml:space="preserve"> </w:t>
      </w:r>
      <w:r w:rsidR="004F7D76">
        <w:rPr>
          <w:lang w:val="en-GB" w:eastAsia="zh-CN"/>
        </w:rPr>
        <w:t>the default DRX cycle in system information in Idle mode</w:t>
      </w:r>
      <w:r w:rsidR="00C26E25">
        <w:rPr>
          <w:lang w:val="en-GB" w:eastAsia="zh-CN"/>
        </w:rPr>
        <w:t xml:space="preserve">. </w:t>
      </w:r>
      <w:r w:rsidR="00833119">
        <w:rPr>
          <w:lang w:val="en-GB" w:eastAsia="zh-CN"/>
        </w:rPr>
        <w:t>It is assumed that RAN should retain t</w:t>
      </w:r>
      <w:r w:rsidR="00C64ED3">
        <w:rPr>
          <w:lang w:val="en-GB" w:eastAsia="zh-CN"/>
        </w:rPr>
        <w:t>he ability to control the DRX cycle used by the UE:</w:t>
      </w:r>
    </w:p>
    <w:p w14:paraId="6400C14D" w14:textId="62800823" w:rsidR="00C64ED3" w:rsidRDefault="00C64ED3" w:rsidP="00C64ED3">
      <w:pPr>
        <w:rPr>
          <w:lang w:val="en-GB" w:eastAsia="zh-CN"/>
        </w:rPr>
      </w:pPr>
      <w:r>
        <w:rPr>
          <w:b/>
          <w:lang w:val="en-GB" w:eastAsia="zh-CN"/>
        </w:rPr>
        <w:t>Assumption 1</w:t>
      </w:r>
      <w:r w:rsidRPr="005000ED">
        <w:rPr>
          <w:b/>
          <w:lang w:val="en-GB" w:eastAsia="zh-CN"/>
        </w:rPr>
        <w:t>:</w:t>
      </w:r>
      <w:r>
        <w:rPr>
          <w:lang w:val="en-GB" w:eastAsia="zh-CN"/>
        </w:rPr>
        <w:t xml:space="preserve"> </w:t>
      </w:r>
      <w:r w:rsidR="00B91281">
        <w:rPr>
          <w:lang w:val="en-GB" w:eastAsia="zh-CN"/>
        </w:rPr>
        <w:t xml:space="preserve">RAN should retain control over the </w:t>
      </w:r>
      <w:r w:rsidR="007525A4">
        <w:rPr>
          <w:lang w:val="en-GB" w:eastAsia="zh-CN"/>
        </w:rPr>
        <w:t>DRX cycle used by the UE</w:t>
      </w:r>
      <w:r>
        <w:rPr>
          <w:lang w:val="en-GB" w:eastAsia="zh-CN"/>
        </w:rPr>
        <w:t>.</w:t>
      </w:r>
    </w:p>
    <w:p w14:paraId="37F7C20A" w14:textId="51913EF9" w:rsidR="006B37FE" w:rsidRDefault="0023508B" w:rsidP="00FA1B07">
      <w:pPr>
        <w:rPr>
          <w:lang w:val="en-GB" w:eastAsia="zh-CN"/>
        </w:rPr>
      </w:pPr>
      <w:r>
        <w:rPr>
          <w:lang w:val="en-GB" w:eastAsia="zh-CN"/>
        </w:rPr>
        <w:t>There are different options such that RAN retains control. But first it is noted that t</w:t>
      </w:r>
      <w:r w:rsidR="00E91644">
        <w:rPr>
          <w:lang w:val="en-GB" w:eastAsia="zh-CN"/>
        </w:rPr>
        <w:t xml:space="preserve">he </w:t>
      </w:r>
      <w:r w:rsidR="00BE0927">
        <w:rPr>
          <w:lang w:val="en-GB" w:eastAsia="zh-CN"/>
        </w:rPr>
        <w:t xml:space="preserve">accepted UE specific DRX cycle, returned in the registration accept by the AMF, is also conveyed in the </w:t>
      </w:r>
      <w:r w:rsidR="00BE0927" w:rsidRPr="00BE0927">
        <w:rPr>
          <w:i/>
          <w:lang w:val="en-GB" w:eastAsia="zh-CN"/>
        </w:rPr>
        <w:t>Paging</w:t>
      </w:r>
      <w:r w:rsidR="00BE0927">
        <w:rPr>
          <w:lang w:val="en-GB" w:eastAsia="zh-CN"/>
        </w:rPr>
        <w:t xml:space="preserve"> message to the gNB. </w:t>
      </w:r>
      <w:r>
        <w:rPr>
          <w:lang w:val="en-GB" w:eastAsia="zh-CN"/>
        </w:rPr>
        <w:t xml:space="preserve">Furthermore the UE specific DRX cycle is conveyed in the </w:t>
      </w:r>
      <w:r w:rsidR="008F2FBD" w:rsidRPr="008D6D7C">
        <w:rPr>
          <w:i/>
          <w:lang w:val="en-GB" w:eastAsia="zh-CN"/>
        </w:rPr>
        <w:t>Core Network Assistance Information</w:t>
      </w:r>
      <w:r w:rsidR="008D6D7C">
        <w:rPr>
          <w:lang w:val="en-GB" w:eastAsia="zh-CN"/>
        </w:rPr>
        <w:t>, send by the AMF to the gNB</w:t>
      </w:r>
      <w:r w:rsidR="007C65AB">
        <w:rPr>
          <w:lang w:val="en-GB" w:eastAsia="zh-CN"/>
        </w:rPr>
        <w:t xml:space="preserve">, e.g. in the UE context. </w:t>
      </w:r>
      <w:r w:rsidR="00991180">
        <w:rPr>
          <w:lang w:val="en-GB" w:eastAsia="zh-CN"/>
        </w:rPr>
        <w:t>One option would be to indicate in system information whether the UE should use the NAS negotiated UE specific DRX cy</w:t>
      </w:r>
      <w:r w:rsidR="004C033A">
        <w:rPr>
          <w:lang w:val="en-GB" w:eastAsia="zh-CN"/>
        </w:rPr>
        <w:t>cl</w:t>
      </w:r>
      <w:r w:rsidR="00991180">
        <w:rPr>
          <w:lang w:val="en-GB" w:eastAsia="zh-CN"/>
        </w:rPr>
        <w:t>e</w:t>
      </w:r>
      <w:r w:rsidR="004C033A">
        <w:rPr>
          <w:lang w:val="en-GB" w:eastAsia="zh-CN"/>
        </w:rPr>
        <w:t xml:space="preserve">, or the </w:t>
      </w:r>
      <w:r w:rsidR="00DC5ABB">
        <w:rPr>
          <w:lang w:val="en-GB" w:eastAsia="zh-CN"/>
        </w:rPr>
        <w:t>shortest of UE specific DRX cycle</w:t>
      </w:r>
      <w:r w:rsidR="006C25D9">
        <w:rPr>
          <w:lang w:val="en-GB" w:eastAsia="zh-CN"/>
        </w:rPr>
        <w:t xml:space="preserve">: </w:t>
      </w:r>
    </w:p>
    <w:p w14:paraId="3B761B8F" w14:textId="77777777" w:rsidR="00976053" w:rsidRDefault="00976053" w:rsidP="00976053">
      <w:pPr>
        <w:rPr>
          <w:lang w:val="en-GB" w:eastAsia="zh-CN"/>
        </w:rPr>
      </w:pPr>
      <w:r w:rsidRPr="00EB0FAE">
        <w:rPr>
          <w:b/>
          <w:lang w:val="en-GB" w:eastAsia="zh-CN"/>
        </w:rPr>
        <w:t>Proposal 1</w:t>
      </w:r>
      <w:r>
        <w:rPr>
          <w:lang w:val="en-GB" w:eastAsia="zh-CN"/>
        </w:rPr>
        <w:t xml:space="preserve">: RAN2 to discuss the control and signalling needed for UE specific </w:t>
      </w:r>
      <w:proofErr w:type="spellStart"/>
      <w:r>
        <w:rPr>
          <w:lang w:val="en-GB" w:eastAsia="zh-CN"/>
        </w:rPr>
        <w:t>eDRX</w:t>
      </w:r>
      <w:proofErr w:type="spellEnd"/>
      <w:r>
        <w:rPr>
          <w:lang w:val="en-GB" w:eastAsia="zh-CN"/>
        </w:rPr>
        <w:t xml:space="preserve"> </w:t>
      </w:r>
    </w:p>
    <w:p w14:paraId="7C03BAC9" w14:textId="2BF38A7D" w:rsidR="001C219C" w:rsidRDefault="00D679BA" w:rsidP="00FA1B07">
      <w:pPr>
        <w:rPr>
          <w:lang w:val="en-GB" w:eastAsia="zh-CN"/>
        </w:rPr>
      </w:pPr>
      <w:r>
        <w:rPr>
          <w:lang w:val="en-GB" w:eastAsia="zh-CN"/>
        </w:rPr>
        <w:lastRenderedPageBreak/>
        <w:t xml:space="preserve">The </w:t>
      </w:r>
      <w:r w:rsidR="00961790">
        <w:rPr>
          <w:lang w:val="en-GB" w:eastAsia="zh-CN"/>
        </w:rPr>
        <w:t xml:space="preserve">UE specific DRX cycle can be negotiated during initial registration, but also during mobility triggered registration (TAU) the UE specific DRX cycle can be re-negotiated in both Idle and Inactive mode. </w:t>
      </w:r>
      <w:r w:rsidR="00DE4C37">
        <w:rPr>
          <w:lang w:val="en-GB" w:eastAsia="zh-CN"/>
        </w:rPr>
        <w:t xml:space="preserve">When the UE is in Inactive mode, the RAN is informed about the UE specific DRX cycle in both Paging message and </w:t>
      </w:r>
      <w:r w:rsidR="00DE4C37">
        <w:rPr>
          <w:rFonts w:eastAsia="Times New Roman"/>
        </w:rPr>
        <w:t>Core Network Assistance Information (section 9.3.1.15)</w:t>
      </w:r>
      <w:r w:rsidR="00DE4C37">
        <w:rPr>
          <w:lang w:val="en-GB" w:eastAsia="zh-CN"/>
        </w:rPr>
        <w:t xml:space="preserve">. </w:t>
      </w:r>
    </w:p>
    <w:p w14:paraId="0D2A6F21" w14:textId="62A6F3E9" w:rsidR="002A7E85" w:rsidRDefault="002A7E85" w:rsidP="002A7E85">
      <w:pPr>
        <w:rPr>
          <w:lang w:val="en-GB" w:eastAsia="zh-CN"/>
        </w:rPr>
      </w:pPr>
      <w:r>
        <w:rPr>
          <w:b/>
          <w:lang w:val="en-GB" w:eastAsia="zh-CN"/>
        </w:rPr>
        <w:t xml:space="preserve">Assumption </w:t>
      </w:r>
      <w:r>
        <w:rPr>
          <w:b/>
          <w:lang w:val="en-GB" w:eastAsia="zh-CN"/>
        </w:rPr>
        <w:t>2</w:t>
      </w:r>
      <w:r w:rsidRPr="005000ED">
        <w:rPr>
          <w:b/>
          <w:lang w:val="en-GB" w:eastAsia="zh-CN"/>
        </w:rPr>
        <w:t>:</w:t>
      </w:r>
      <w:r>
        <w:rPr>
          <w:lang w:val="en-GB" w:eastAsia="zh-CN"/>
        </w:rPr>
        <w:t xml:space="preserve"> </w:t>
      </w:r>
      <w:proofErr w:type="spellStart"/>
      <w:r>
        <w:rPr>
          <w:lang w:val="en-GB" w:eastAsia="zh-CN"/>
        </w:rPr>
        <w:t>eDRX</w:t>
      </w:r>
      <w:proofErr w:type="spellEnd"/>
      <w:r>
        <w:rPr>
          <w:lang w:val="en-GB" w:eastAsia="zh-CN"/>
        </w:rPr>
        <w:t xml:space="preserve"> cycle up to 10.24 sec is supported in both Idle and Inactive mode.</w:t>
      </w:r>
    </w:p>
    <w:p w14:paraId="52CFB08D" w14:textId="16E06E42" w:rsidR="00B0646F" w:rsidRDefault="00421086" w:rsidP="00FA1B07">
      <w:pPr>
        <w:rPr>
          <w:lang w:val="en-GB" w:eastAsia="zh-CN"/>
        </w:rPr>
      </w:pPr>
      <w:r>
        <w:rPr>
          <w:lang w:val="en-GB" w:eastAsia="zh-CN"/>
        </w:rPr>
        <w:t xml:space="preserve">The negotiation of the UE specific DRX cycle can solve the issue that not every NR UE may tolerate a latency </w:t>
      </w:r>
      <w:r w:rsidR="00042D95">
        <w:rPr>
          <w:lang w:val="en-GB" w:eastAsia="zh-CN"/>
        </w:rPr>
        <w:t xml:space="preserve">of the extended DRX. Another aspect to discuss further is the mobility aspect, i.e. </w:t>
      </w:r>
      <w:r w:rsidR="003D0818">
        <w:rPr>
          <w:lang w:val="en-GB" w:eastAsia="zh-CN"/>
        </w:rPr>
        <w:t>it is assumed that the normal NR mobility</w:t>
      </w:r>
      <w:r w:rsidR="00F71A80">
        <w:rPr>
          <w:lang w:val="en-GB" w:eastAsia="zh-CN"/>
        </w:rPr>
        <w:t xml:space="preserve">, including high speed UEs, cannot be supported with a DRX up to </w:t>
      </w:r>
      <w:r w:rsidR="00802567">
        <w:rPr>
          <w:lang w:val="en-GB" w:eastAsia="zh-CN"/>
        </w:rPr>
        <w:t>10.24</w:t>
      </w:r>
      <w:r w:rsidR="00F71A80">
        <w:rPr>
          <w:lang w:val="en-GB" w:eastAsia="zh-CN"/>
        </w:rPr>
        <w:t xml:space="preserve"> sec.</w:t>
      </w:r>
      <w:r w:rsidR="000A16B9">
        <w:rPr>
          <w:lang w:val="en-GB" w:eastAsia="zh-CN"/>
        </w:rPr>
        <w:t xml:space="preserve"> </w:t>
      </w:r>
      <w:r w:rsidR="00F56869">
        <w:rPr>
          <w:lang w:val="en-GB" w:eastAsia="zh-CN"/>
        </w:rPr>
        <w:t xml:space="preserve">RAN2 is studying relaxed RRM measurements e.g. for stationary UE. </w:t>
      </w:r>
      <w:r w:rsidR="00B0646F">
        <w:rPr>
          <w:lang w:val="en-GB" w:eastAsia="zh-CN"/>
        </w:rPr>
        <w:t xml:space="preserve">One option is to couple </w:t>
      </w:r>
      <w:r w:rsidR="00C42B62">
        <w:rPr>
          <w:lang w:val="en-GB" w:eastAsia="zh-CN"/>
        </w:rPr>
        <w:t xml:space="preserve">relaxed RRM measurements to the </w:t>
      </w:r>
      <w:proofErr w:type="spellStart"/>
      <w:r w:rsidR="00C42B62">
        <w:rPr>
          <w:lang w:val="en-GB" w:eastAsia="zh-CN"/>
        </w:rPr>
        <w:t>eDRX</w:t>
      </w:r>
      <w:proofErr w:type="spellEnd"/>
      <w:r w:rsidR="00C42B62">
        <w:rPr>
          <w:lang w:val="en-GB" w:eastAsia="zh-CN"/>
        </w:rPr>
        <w:t xml:space="preserve">, i.e. the UE performs RRM measurements according to the UE specific </w:t>
      </w:r>
      <w:proofErr w:type="spellStart"/>
      <w:r w:rsidR="00061E0B">
        <w:rPr>
          <w:lang w:val="en-GB" w:eastAsia="zh-CN"/>
        </w:rPr>
        <w:t>eDRX</w:t>
      </w:r>
      <w:proofErr w:type="spellEnd"/>
      <w:r w:rsidR="00BC63CF">
        <w:rPr>
          <w:lang w:val="en-GB" w:eastAsia="zh-CN"/>
        </w:rPr>
        <w:t xml:space="preserve"> (accepted DRX beyond 2.56 sec) </w:t>
      </w:r>
      <w:r w:rsidR="00061E0B">
        <w:rPr>
          <w:lang w:val="en-GB" w:eastAsia="zh-CN"/>
        </w:rPr>
        <w:t xml:space="preserve">only when the UE is stationary. When the UE is not stationary the UE performs the RRM measurements according to the DRX cycle indicated in system information. </w:t>
      </w:r>
      <w:r w:rsidR="00803518">
        <w:rPr>
          <w:lang w:val="en-GB" w:eastAsia="zh-CN"/>
        </w:rPr>
        <w:t xml:space="preserve">The UE can use the negotiated UE specific </w:t>
      </w:r>
      <w:proofErr w:type="spellStart"/>
      <w:r w:rsidR="00803518">
        <w:rPr>
          <w:lang w:val="en-GB" w:eastAsia="zh-CN"/>
        </w:rPr>
        <w:t>eDRX</w:t>
      </w:r>
      <w:proofErr w:type="spellEnd"/>
      <w:r w:rsidR="00803518">
        <w:rPr>
          <w:lang w:val="en-GB" w:eastAsia="zh-CN"/>
        </w:rPr>
        <w:t xml:space="preserve"> to monitor paging: </w:t>
      </w:r>
    </w:p>
    <w:p w14:paraId="5E4C5418" w14:textId="57C92316" w:rsidR="007A3678" w:rsidRDefault="007A3678" w:rsidP="007A3678">
      <w:pPr>
        <w:rPr>
          <w:lang w:val="en-GB" w:eastAsia="zh-CN"/>
        </w:rPr>
      </w:pPr>
      <w:r w:rsidRPr="00B66F5C">
        <w:rPr>
          <w:b/>
          <w:lang w:val="en-GB" w:eastAsia="zh-CN"/>
        </w:rPr>
        <w:t xml:space="preserve">Proposal </w:t>
      </w:r>
      <w:r>
        <w:rPr>
          <w:b/>
          <w:lang w:val="en-GB" w:eastAsia="zh-CN"/>
        </w:rPr>
        <w:t>3</w:t>
      </w:r>
      <w:r>
        <w:rPr>
          <w:lang w:val="en-GB" w:eastAsia="zh-CN"/>
        </w:rPr>
        <w:t xml:space="preserve">: </w:t>
      </w:r>
      <w:r w:rsidR="00F3297C">
        <w:rPr>
          <w:lang w:val="en-GB" w:eastAsia="zh-CN"/>
        </w:rPr>
        <w:t xml:space="preserve">RAN2 to discuss </w:t>
      </w:r>
      <w:r w:rsidR="00803518">
        <w:rPr>
          <w:lang w:val="en-GB" w:eastAsia="zh-CN"/>
        </w:rPr>
        <w:t xml:space="preserve">the coupling of </w:t>
      </w:r>
      <w:r w:rsidR="008D2230">
        <w:rPr>
          <w:lang w:val="en-GB" w:eastAsia="zh-CN"/>
        </w:rPr>
        <w:t xml:space="preserve">relaxed RRM measurement and UE specific </w:t>
      </w:r>
      <w:proofErr w:type="spellStart"/>
      <w:r w:rsidR="008D2230">
        <w:rPr>
          <w:lang w:val="en-GB" w:eastAsia="zh-CN"/>
        </w:rPr>
        <w:t>eDRX</w:t>
      </w:r>
      <w:proofErr w:type="spellEnd"/>
      <w:r w:rsidR="00EF2922">
        <w:rPr>
          <w:lang w:val="en-GB" w:eastAsia="zh-CN"/>
        </w:rPr>
        <w:t>.</w:t>
      </w:r>
    </w:p>
    <w:p w14:paraId="5E650D32" w14:textId="77777777" w:rsidR="009D725A" w:rsidRDefault="009D725A" w:rsidP="009D725A">
      <w:pPr>
        <w:pStyle w:val="Heading1"/>
        <w:jc w:val="both"/>
      </w:pPr>
      <w:bookmarkStart w:id="2" w:name="_Toc242573360"/>
      <w:r>
        <w:t>Summary</w:t>
      </w:r>
      <w:bookmarkEnd w:id="2"/>
    </w:p>
    <w:p w14:paraId="50FCF577" w14:textId="77777777" w:rsidR="00022A78" w:rsidRPr="006B41D7" w:rsidRDefault="00022A78" w:rsidP="00022A78">
      <w:pPr>
        <w:rPr>
          <w:lang w:val="en-GB" w:eastAsia="zh-CN"/>
        </w:rPr>
      </w:pPr>
      <w:bookmarkStart w:id="3" w:name="_Toc242573361"/>
      <w:r w:rsidRPr="00C04478">
        <w:rPr>
          <w:b/>
          <w:lang w:val="en-GB" w:eastAsia="zh-CN"/>
        </w:rPr>
        <w:t>Observation 1</w:t>
      </w:r>
      <w:r>
        <w:rPr>
          <w:lang w:val="en-GB" w:eastAsia="zh-CN"/>
        </w:rPr>
        <w:t xml:space="preserve">: There is no impact on CN to support an </w:t>
      </w:r>
      <w:proofErr w:type="spellStart"/>
      <w:r>
        <w:rPr>
          <w:lang w:val="en-GB" w:eastAsia="zh-CN"/>
        </w:rPr>
        <w:t>eDRX</w:t>
      </w:r>
      <w:proofErr w:type="spellEnd"/>
      <w:r>
        <w:rPr>
          <w:lang w:val="en-GB" w:eastAsia="zh-CN"/>
        </w:rPr>
        <w:t xml:space="preserve"> up to 10.24 sec.</w:t>
      </w:r>
    </w:p>
    <w:p w14:paraId="28025950" w14:textId="4E735007" w:rsidR="00022A78" w:rsidRDefault="00022A78" w:rsidP="00022A78">
      <w:pPr>
        <w:rPr>
          <w:lang w:val="en-GB" w:eastAsia="zh-CN"/>
        </w:rPr>
      </w:pPr>
      <w:r>
        <w:rPr>
          <w:b/>
          <w:lang w:val="en-GB" w:eastAsia="zh-CN"/>
        </w:rPr>
        <w:t>Observation</w:t>
      </w:r>
      <w:r w:rsidRPr="005000ED">
        <w:rPr>
          <w:b/>
          <w:lang w:val="en-GB" w:eastAsia="zh-CN"/>
        </w:rPr>
        <w:t xml:space="preserve"> </w:t>
      </w:r>
      <w:r>
        <w:rPr>
          <w:b/>
          <w:lang w:val="en-GB" w:eastAsia="zh-CN"/>
        </w:rPr>
        <w:t>2</w:t>
      </w:r>
      <w:r w:rsidRPr="005000ED">
        <w:rPr>
          <w:b/>
          <w:lang w:val="en-GB" w:eastAsia="zh-CN"/>
        </w:rPr>
        <w:t>:</w:t>
      </w:r>
      <w:r>
        <w:rPr>
          <w:lang w:val="en-GB" w:eastAsia="zh-CN"/>
        </w:rPr>
        <w:t xml:space="preserve"> The UE should be able to negotiate a preferred and acceptable </w:t>
      </w:r>
      <w:proofErr w:type="spellStart"/>
      <w:r>
        <w:rPr>
          <w:lang w:val="en-GB" w:eastAsia="zh-CN"/>
        </w:rPr>
        <w:t>eDRX</w:t>
      </w:r>
      <w:proofErr w:type="spellEnd"/>
      <w:r>
        <w:rPr>
          <w:lang w:val="en-GB" w:eastAsia="zh-CN"/>
        </w:rPr>
        <w:t xml:space="preserve"> cycle</w:t>
      </w:r>
      <w:r w:rsidR="00CB2864">
        <w:rPr>
          <w:lang w:val="en-GB" w:eastAsia="zh-CN"/>
        </w:rPr>
        <w:t>.</w:t>
      </w:r>
    </w:p>
    <w:p w14:paraId="7D291E43" w14:textId="3C54EB3F" w:rsidR="00022A78" w:rsidRDefault="00022A78" w:rsidP="00022A78">
      <w:pPr>
        <w:rPr>
          <w:lang w:val="en-GB" w:eastAsia="zh-CN"/>
        </w:rPr>
      </w:pPr>
      <w:r>
        <w:rPr>
          <w:b/>
          <w:lang w:val="en-GB" w:eastAsia="zh-CN"/>
        </w:rPr>
        <w:t>Observation</w:t>
      </w:r>
      <w:r w:rsidRPr="005000ED">
        <w:rPr>
          <w:b/>
          <w:lang w:val="en-GB" w:eastAsia="zh-CN"/>
        </w:rPr>
        <w:t xml:space="preserve"> </w:t>
      </w:r>
      <w:r>
        <w:rPr>
          <w:b/>
          <w:lang w:val="en-GB" w:eastAsia="zh-CN"/>
        </w:rPr>
        <w:t>3</w:t>
      </w:r>
      <w:r w:rsidRPr="005000ED">
        <w:rPr>
          <w:b/>
          <w:lang w:val="en-GB" w:eastAsia="zh-CN"/>
        </w:rPr>
        <w:t>:</w:t>
      </w:r>
      <w:r>
        <w:rPr>
          <w:lang w:val="en-GB" w:eastAsia="zh-CN"/>
        </w:rPr>
        <w:t xml:space="preserve"> The existing UE specific DRX cycle negotiated on NAS level could be extended to </w:t>
      </w:r>
      <w:proofErr w:type="spellStart"/>
      <w:r>
        <w:rPr>
          <w:lang w:val="en-GB" w:eastAsia="zh-CN"/>
        </w:rPr>
        <w:t>eDRX</w:t>
      </w:r>
      <w:proofErr w:type="spellEnd"/>
      <w:r>
        <w:rPr>
          <w:lang w:val="en-GB" w:eastAsia="zh-CN"/>
        </w:rPr>
        <w:t>.</w:t>
      </w:r>
    </w:p>
    <w:p w14:paraId="5EDB4825" w14:textId="77777777" w:rsidR="00022A78" w:rsidRDefault="00022A78" w:rsidP="00022A78">
      <w:pPr>
        <w:rPr>
          <w:lang w:val="en-GB" w:eastAsia="zh-CN"/>
        </w:rPr>
      </w:pPr>
      <w:r>
        <w:rPr>
          <w:b/>
          <w:lang w:val="en-GB" w:eastAsia="zh-CN"/>
        </w:rPr>
        <w:t>Observation</w:t>
      </w:r>
      <w:r w:rsidRPr="005000ED">
        <w:rPr>
          <w:b/>
          <w:lang w:val="en-GB" w:eastAsia="zh-CN"/>
        </w:rPr>
        <w:t xml:space="preserve"> </w:t>
      </w:r>
      <w:r>
        <w:rPr>
          <w:b/>
          <w:lang w:val="en-GB" w:eastAsia="zh-CN"/>
        </w:rPr>
        <w:t>4</w:t>
      </w:r>
      <w:r w:rsidRPr="005000ED">
        <w:rPr>
          <w:b/>
          <w:lang w:val="en-GB" w:eastAsia="zh-CN"/>
        </w:rPr>
        <w:t>:</w:t>
      </w:r>
      <w:r>
        <w:rPr>
          <w:lang w:val="en-GB" w:eastAsia="zh-CN"/>
        </w:rPr>
        <w:t xml:space="preserve"> The AMF should not accept a longer DRX cycle than preferred by the UE.</w:t>
      </w:r>
    </w:p>
    <w:p w14:paraId="41A1FA21" w14:textId="77777777" w:rsidR="00022A78" w:rsidRDefault="00022A78" w:rsidP="00022A78">
      <w:pPr>
        <w:rPr>
          <w:lang w:val="en-GB" w:eastAsia="zh-CN"/>
        </w:rPr>
      </w:pPr>
      <w:r>
        <w:rPr>
          <w:b/>
          <w:lang w:val="en-GB" w:eastAsia="zh-CN"/>
        </w:rPr>
        <w:t>Assumption 1</w:t>
      </w:r>
      <w:r w:rsidRPr="005000ED">
        <w:rPr>
          <w:b/>
          <w:lang w:val="en-GB" w:eastAsia="zh-CN"/>
        </w:rPr>
        <w:t>:</w:t>
      </w:r>
      <w:r>
        <w:rPr>
          <w:lang w:val="en-GB" w:eastAsia="zh-CN"/>
        </w:rPr>
        <w:t xml:space="preserve"> RAN should retain control over the DRX cycle used by the UE.</w:t>
      </w:r>
    </w:p>
    <w:p w14:paraId="3AC665B2" w14:textId="240C6AB3" w:rsidR="00022A78" w:rsidRDefault="00022A78" w:rsidP="00022A78">
      <w:pPr>
        <w:rPr>
          <w:lang w:val="en-GB" w:eastAsia="zh-CN"/>
        </w:rPr>
      </w:pPr>
      <w:r w:rsidRPr="00EB0FAE">
        <w:rPr>
          <w:b/>
          <w:lang w:val="en-GB" w:eastAsia="zh-CN"/>
        </w:rPr>
        <w:t>Proposal 1</w:t>
      </w:r>
      <w:r>
        <w:rPr>
          <w:lang w:val="en-GB" w:eastAsia="zh-CN"/>
        </w:rPr>
        <w:t xml:space="preserve">: RAN2 to discuss the control and signalling needed for UE specific </w:t>
      </w:r>
      <w:proofErr w:type="spellStart"/>
      <w:r w:rsidR="00976053">
        <w:rPr>
          <w:lang w:val="en-GB" w:eastAsia="zh-CN"/>
        </w:rPr>
        <w:t>e</w:t>
      </w:r>
      <w:r>
        <w:rPr>
          <w:lang w:val="en-GB" w:eastAsia="zh-CN"/>
        </w:rPr>
        <w:t>DRX</w:t>
      </w:r>
      <w:proofErr w:type="spellEnd"/>
      <w:r>
        <w:rPr>
          <w:lang w:val="en-GB" w:eastAsia="zh-CN"/>
        </w:rPr>
        <w:t xml:space="preserve"> </w:t>
      </w:r>
    </w:p>
    <w:p w14:paraId="4C40C95E" w14:textId="77777777" w:rsidR="00022A78" w:rsidRDefault="00022A78" w:rsidP="00022A78">
      <w:pPr>
        <w:rPr>
          <w:lang w:val="en-GB" w:eastAsia="zh-CN"/>
        </w:rPr>
      </w:pPr>
      <w:r>
        <w:rPr>
          <w:b/>
          <w:lang w:val="en-GB" w:eastAsia="zh-CN"/>
        </w:rPr>
        <w:t>Assumption 2</w:t>
      </w:r>
      <w:r w:rsidRPr="005000ED">
        <w:rPr>
          <w:b/>
          <w:lang w:val="en-GB" w:eastAsia="zh-CN"/>
        </w:rPr>
        <w:t>:</w:t>
      </w:r>
      <w:r>
        <w:rPr>
          <w:lang w:val="en-GB" w:eastAsia="zh-CN"/>
        </w:rPr>
        <w:t xml:space="preserve"> </w:t>
      </w:r>
      <w:proofErr w:type="spellStart"/>
      <w:r>
        <w:rPr>
          <w:lang w:val="en-GB" w:eastAsia="zh-CN"/>
        </w:rPr>
        <w:t>eDRX</w:t>
      </w:r>
      <w:proofErr w:type="spellEnd"/>
      <w:r>
        <w:rPr>
          <w:lang w:val="en-GB" w:eastAsia="zh-CN"/>
        </w:rPr>
        <w:t xml:space="preserve"> cycle up to 10.24 sec is supported in both Idle and Inactive mode.</w:t>
      </w:r>
    </w:p>
    <w:p w14:paraId="1E259AAC" w14:textId="77777777" w:rsidR="00022A78" w:rsidRDefault="00022A78" w:rsidP="00022A78">
      <w:pPr>
        <w:rPr>
          <w:lang w:val="en-GB" w:eastAsia="zh-CN"/>
        </w:rPr>
      </w:pPr>
      <w:bookmarkStart w:id="4" w:name="_GoBack"/>
      <w:r w:rsidRPr="00B66F5C">
        <w:rPr>
          <w:b/>
          <w:lang w:val="en-GB" w:eastAsia="zh-CN"/>
        </w:rPr>
        <w:t xml:space="preserve">Proposal </w:t>
      </w:r>
      <w:r>
        <w:rPr>
          <w:b/>
          <w:lang w:val="en-GB" w:eastAsia="zh-CN"/>
        </w:rPr>
        <w:t>3</w:t>
      </w:r>
      <w:r>
        <w:rPr>
          <w:lang w:val="en-GB" w:eastAsia="zh-CN"/>
        </w:rPr>
        <w:t xml:space="preserve">: RAN2 to discuss the coupling of relaxed RRM measurement and UE specific </w:t>
      </w:r>
      <w:proofErr w:type="spellStart"/>
      <w:r>
        <w:rPr>
          <w:lang w:val="en-GB" w:eastAsia="zh-CN"/>
        </w:rPr>
        <w:t>eDRX</w:t>
      </w:r>
      <w:proofErr w:type="spellEnd"/>
      <w:r>
        <w:rPr>
          <w:lang w:val="en-GB" w:eastAsia="zh-CN"/>
        </w:rPr>
        <w:t>.</w:t>
      </w:r>
    </w:p>
    <w:bookmarkEnd w:id="4"/>
    <w:p w14:paraId="5A15FD36" w14:textId="77777777" w:rsidR="009D725A" w:rsidRDefault="009D725A" w:rsidP="009D725A">
      <w:pPr>
        <w:pStyle w:val="Heading1"/>
        <w:rPr>
          <w:noProof/>
        </w:rPr>
      </w:pPr>
      <w:r>
        <w:rPr>
          <w:noProof/>
        </w:rPr>
        <w:t>References</w:t>
      </w:r>
      <w:bookmarkEnd w:id="3"/>
    </w:p>
    <w:p w14:paraId="7ED36B19" w14:textId="064922B9" w:rsidR="00EE6780" w:rsidRPr="007244BF" w:rsidRDefault="00D004D5" w:rsidP="00415E8B">
      <w:pPr>
        <w:numPr>
          <w:ilvl w:val="0"/>
          <w:numId w:val="1"/>
        </w:numPr>
        <w:overflowPunct w:val="0"/>
        <w:autoSpaceDE w:val="0"/>
        <w:autoSpaceDN w:val="0"/>
        <w:adjustRightInd w:val="0"/>
        <w:spacing w:after="60"/>
        <w:textAlignment w:val="baseline"/>
        <w:rPr>
          <w:rFonts w:cs="Arial"/>
          <w:sz w:val="16"/>
          <w:szCs w:val="16"/>
          <w:lang w:val="en-GB"/>
        </w:rPr>
      </w:pPr>
      <w:hyperlink r:id="rId7" w:history="1">
        <w:r w:rsidR="00D13FDC" w:rsidRPr="007244BF">
          <w:rPr>
            <w:rStyle w:val="Hyperlink"/>
            <w:rFonts w:cs="Arial"/>
            <w:sz w:val="16"/>
            <w:szCs w:val="16"/>
            <w:lang w:val="en-GB"/>
          </w:rPr>
          <w:t>R2-1901046</w:t>
        </w:r>
      </w:hyperlink>
      <w:r w:rsidR="007244BF">
        <w:rPr>
          <w:rFonts w:cs="Arial"/>
          <w:sz w:val="16"/>
          <w:szCs w:val="16"/>
          <w:lang w:val="en-GB"/>
        </w:rPr>
        <w:t xml:space="preserve">, </w:t>
      </w:r>
      <w:r w:rsidR="00D13FDC" w:rsidRPr="007244BF">
        <w:rPr>
          <w:rFonts w:cs="Arial"/>
          <w:i/>
          <w:sz w:val="16"/>
          <w:szCs w:val="16"/>
          <w:lang w:val="en-GB"/>
        </w:rPr>
        <w:t xml:space="preserve">On Supporting </w:t>
      </w:r>
      <w:proofErr w:type="spellStart"/>
      <w:r w:rsidR="00D13FDC" w:rsidRPr="007244BF">
        <w:rPr>
          <w:rFonts w:cs="Arial"/>
          <w:i/>
          <w:sz w:val="16"/>
          <w:szCs w:val="16"/>
          <w:lang w:val="en-GB"/>
        </w:rPr>
        <w:t>eDRX</w:t>
      </w:r>
      <w:proofErr w:type="spellEnd"/>
      <w:r w:rsidR="00D13FDC" w:rsidRPr="007244BF">
        <w:rPr>
          <w:rFonts w:cs="Arial"/>
          <w:i/>
          <w:sz w:val="16"/>
          <w:szCs w:val="16"/>
          <w:lang w:val="en-GB"/>
        </w:rPr>
        <w:t xml:space="preserve"> in NR</w:t>
      </w:r>
      <w:r w:rsidR="00D13FDC" w:rsidRPr="007244BF">
        <w:rPr>
          <w:rFonts w:cs="Arial"/>
          <w:sz w:val="16"/>
          <w:szCs w:val="16"/>
          <w:lang w:val="en-GB"/>
        </w:rPr>
        <w:t>, Samsung, DISC</w:t>
      </w:r>
      <w:r w:rsidR="007244BF">
        <w:rPr>
          <w:rFonts w:cs="Arial"/>
          <w:sz w:val="16"/>
          <w:szCs w:val="16"/>
          <w:lang w:val="en-GB"/>
        </w:rPr>
        <w:t>, RAN2#105</w:t>
      </w:r>
    </w:p>
    <w:p w14:paraId="62743F70" w14:textId="6089167A" w:rsidR="00EE6780" w:rsidRDefault="00D004D5" w:rsidP="00415E8B">
      <w:pPr>
        <w:numPr>
          <w:ilvl w:val="0"/>
          <w:numId w:val="1"/>
        </w:numPr>
        <w:overflowPunct w:val="0"/>
        <w:autoSpaceDE w:val="0"/>
        <w:autoSpaceDN w:val="0"/>
        <w:adjustRightInd w:val="0"/>
        <w:spacing w:after="60"/>
        <w:textAlignment w:val="baseline"/>
        <w:rPr>
          <w:rFonts w:cs="Arial"/>
          <w:sz w:val="16"/>
          <w:szCs w:val="16"/>
          <w:lang w:val="en-GB"/>
        </w:rPr>
      </w:pPr>
      <w:hyperlink r:id="rId8" w:history="1">
        <w:r w:rsidR="00D13FDC" w:rsidRPr="00A27CCB">
          <w:rPr>
            <w:rStyle w:val="Hyperlink"/>
            <w:rFonts w:cs="Arial"/>
            <w:sz w:val="16"/>
            <w:szCs w:val="16"/>
            <w:lang w:val="en-GB"/>
          </w:rPr>
          <w:t>R2-1901277</w:t>
        </w:r>
      </w:hyperlink>
      <w:r w:rsidR="00A27CCB">
        <w:rPr>
          <w:rFonts w:cs="Arial"/>
          <w:sz w:val="16"/>
          <w:szCs w:val="16"/>
          <w:lang w:val="en-GB"/>
        </w:rPr>
        <w:t xml:space="preserve">, </w:t>
      </w:r>
      <w:r w:rsidR="00D13FDC" w:rsidRPr="00A27CCB">
        <w:rPr>
          <w:rFonts w:cs="Arial"/>
          <w:i/>
          <w:sz w:val="16"/>
          <w:szCs w:val="16"/>
          <w:lang w:val="en-GB"/>
        </w:rPr>
        <w:t>Relaxed RRM measurements in Idle mode</w:t>
      </w:r>
      <w:r w:rsidR="00D13FDC" w:rsidRPr="00A27CCB">
        <w:rPr>
          <w:rFonts w:cs="Arial"/>
          <w:sz w:val="16"/>
          <w:szCs w:val="16"/>
          <w:lang w:val="en-GB"/>
        </w:rPr>
        <w:t>, Ericsson, DISC</w:t>
      </w:r>
      <w:r w:rsidR="00A27CCB">
        <w:rPr>
          <w:rFonts w:cs="Arial"/>
          <w:sz w:val="16"/>
          <w:szCs w:val="16"/>
          <w:lang w:val="en-GB"/>
        </w:rPr>
        <w:t>, RAN2#105</w:t>
      </w:r>
    </w:p>
    <w:p w14:paraId="040B9FFF" w14:textId="77777777" w:rsidR="00172634" w:rsidRPr="00B44F25" w:rsidRDefault="00D004D5" w:rsidP="00172634">
      <w:pPr>
        <w:numPr>
          <w:ilvl w:val="0"/>
          <w:numId w:val="1"/>
        </w:numPr>
        <w:overflowPunct w:val="0"/>
        <w:autoSpaceDE w:val="0"/>
        <w:autoSpaceDN w:val="0"/>
        <w:adjustRightInd w:val="0"/>
        <w:spacing w:after="180"/>
        <w:textAlignment w:val="baseline"/>
        <w:rPr>
          <w:rFonts w:cs="Arial"/>
          <w:sz w:val="16"/>
          <w:szCs w:val="16"/>
          <w:lang w:val="de-DE"/>
        </w:rPr>
      </w:pPr>
      <w:hyperlink r:id="rId9" w:history="1">
        <w:r w:rsidR="00172634" w:rsidRPr="00B44F25">
          <w:rPr>
            <w:rStyle w:val="Hyperlink"/>
            <w:rFonts w:cs="Arial"/>
            <w:sz w:val="16"/>
            <w:szCs w:val="16"/>
            <w:lang w:val="de-DE"/>
          </w:rPr>
          <w:t>S2-1901343</w:t>
        </w:r>
      </w:hyperlink>
      <w:r w:rsidR="00172634" w:rsidRPr="00B44F25">
        <w:rPr>
          <w:rFonts w:cs="Arial"/>
          <w:sz w:val="16"/>
          <w:szCs w:val="16"/>
          <w:lang w:val="de-DE"/>
        </w:rPr>
        <w:t xml:space="preserve">, </w:t>
      </w:r>
      <w:r w:rsidR="00172634" w:rsidRPr="00B44F25">
        <w:rPr>
          <w:rFonts w:cs="Arial"/>
          <w:i/>
          <w:sz w:val="16"/>
          <w:szCs w:val="16"/>
          <w:lang w:val="de-DE"/>
        </w:rPr>
        <w:t>LS on eDRX cycles for CM-CONNECTED with RRC inactive,</w:t>
      </w:r>
      <w:r w:rsidR="00172634" w:rsidRPr="00B44F25">
        <w:rPr>
          <w:rFonts w:cs="Arial"/>
          <w:sz w:val="16"/>
          <w:szCs w:val="16"/>
          <w:lang w:val="de-DE"/>
        </w:rPr>
        <w:t xml:space="preserve"> LS out,</w:t>
      </w:r>
      <w:r w:rsidR="00172634" w:rsidRPr="00B44F25">
        <w:rPr>
          <w:sz w:val="16"/>
          <w:szCs w:val="16"/>
          <w:lang w:val="de-DE"/>
        </w:rPr>
        <w:t xml:space="preserve"> To: CT1, CT4, RAN2, SA2#130</w:t>
      </w:r>
    </w:p>
    <w:p w14:paraId="06715A38" w14:textId="77777777" w:rsidR="00741152" w:rsidRPr="00EE73E5" w:rsidRDefault="00741152" w:rsidP="00682662">
      <w:pPr>
        <w:tabs>
          <w:tab w:val="num" w:pos="993"/>
        </w:tabs>
        <w:overflowPunct w:val="0"/>
        <w:autoSpaceDE w:val="0"/>
        <w:autoSpaceDN w:val="0"/>
        <w:adjustRightInd w:val="0"/>
        <w:spacing w:after="180"/>
        <w:textAlignment w:val="baseline"/>
        <w:rPr>
          <w:rFonts w:cs="Arial"/>
          <w:lang w:val="de-DE"/>
        </w:rPr>
      </w:pPr>
    </w:p>
    <w:sectPr w:rsidR="00741152" w:rsidRPr="00EE73E5"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FF3EC" w14:textId="77777777" w:rsidR="00D004D5" w:rsidRDefault="00D004D5">
      <w:r>
        <w:separator/>
      </w:r>
    </w:p>
  </w:endnote>
  <w:endnote w:type="continuationSeparator" w:id="0">
    <w:p w14:paraId="7098B2BB" w14:textId="77777777" w:rsidR="00D004D5" w:rsidRDefault="00D0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47017" w14:textId="77777777" w:rsidR="00D004D5" w:rsidRDefault="00D004D5">
      <w:r>
        <w:separator/>
      </w:r>
    </w:p>
  </w:footnote>
  <w:footnote w:type="continuationSeparator" w:id="0">
    <w:p w14:paraId="589A6586" w14:textId="77777777" w:rsidR="00D004D5" w:rsidRDefault="00D00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344D9"/>
    <w:multiLevelType w:val="hybridMultilevel"/>
    <w:tmpl w:val="1A1033BA"/>
    <w:lvl w:ilvl="0" w:tplc="E0CC7F82">
      <w:start w:val="1"/>
      <w:numFmt w:val="bullet"/>
      <w:lvlText w:val="—"/>
      <w:lvlJc w:val="left"/>
      <w:pPr>
        <w:tabs>
          <w:tab w:val="num" w:pos="720"/>
        </w:tabs>
        <w:ind w:left="720" w:hanging="360"/>
      </w:pPr>
      <w:rPr>
        <w:rFonts w:ascii="Ericsson Hilda Light" w:hAnsi="Ericsson Hilda Light" w:hint="default"/>
      </w:rPr>
    </w:lvl>
    <w:lvl w:ilvl="1" w:tplc="1EBC5EDE" w:tentative="1">
      <w:start w:val="1"/>
      <w:numFmt w:val="bullet"/>
      <w:lvlText w:val="—"/>
      <w:lvlJc w:val="left"/>
      <w:pPr>
        <w:tabs>
          <w:tab w:val="num" w:pos="1440"/>
        </w:tabs>
        <w:ind w:left="1440" w:hanging="360"/>
      </w:pPr>
      <w:rPr>
        <w:rFonts w:ascii="Ericsson Hilda Light" w:hAnsi="Ericsson Hilda Light" w:hint="default"/>
      </w:rPr>
    </w:lvl>
    <w:lvl w:ilvl="2" w:tplc="FEF23F14">
      <w:start w:val="1"/>
      <w:numFmt w:val="bullet"/>
      <w:lvlText w:val="—"/>
      <w:lvlJc w:val="left"/>
      <w:pPr>
        <w:tabs>
          <w:tab w:val="num" w:pos="2160"/>
        </w:tabs>
        <w:ind w:left="2160" w:hanging="360"/>
      </w:pPr>
      <w:rPr>
        <w:rFonts w:ascii="Ericsson Hilda Light" w:hAnsi="Ericsson Hilda Light" w:hint="default"/>
      </w:rPr>
    </w:lvl>
    <w:lvl w:ilvl="3" w:tplc="4C746C1C" w:tentative="1">
      <w:start w:val="1"/>
      <w:numFmt w:val="bullet"/>
      <w:lvlText w:val="—"/>
      <w:lvlJc w:val="left"/>
      <w:pPr>
        <w:tabs>
          <w:tab w:val="num" w:pos="2880"/>
        </w:tabs>
        <w:ind w:left="2880" w:hanging="360"/>
      </w:pPr>
      <w:rPr>
        <w:rFonts w:ascii="Ericsson Hilda Light" w:hAnsi="Ericsson Hilda Light" w:hint="default"/>
      </w:rPr>
    </w:lvl>
    <w:lvl w:ilvl="4" w:tplc="FC200DC4" w:tentative="1">
      <w:start w:val="1"/>
      <w:numFmt w:val="bullet"/>
      <w:lvlText w:val="—"/>
      <w:lvlJc w:val="left"/>
      <w:pPr>
        <w:tabs>
          <w:tab w:val="num" w:pos="3600"/>
        </w:tabs>
        <w:ind w:left="3600" w:hanging="360"/>
      </w:pPr>
      <w:rPr>
        <w:rFonts w:ascii="Ericsson Hilda Light" w:hAnsi="Ericsson Hilda Light" w:hint="default"/>
      </w:rPr>
    </w:lvl>
    <w:lvl w:ilvl="5" w:tplc="81541CE6" w:tentative="1">
      <w:start w:val="1"/>
      <w:numFmt w:val="bullet"/>
      <w:lvlText w:val="—"/>
      <w:lvlJc w:val="left"/>
      <w:pPr>
        <w:tabs>
          <w:tab w:val="num" w:pos="4320"/>
        </w:tabs>
        <w:ind w:left="4320" w:hanging="360"/>
      </w:pPr>
      <w:rPr>
        <w:rFonts w:ascii="Ericsson Hilda Light" w:hAnsi="Ericsson Hilda Light" w:hint="default"/>
      </w:rPr>
    </w:lvl>
    <w:lvl w:ilvl="6" w:tplc="29C03902" w:tentative="1">
      <w:start w:val="1"/>
      <w:numFmt w:val="bullet"/>
      <w:lvlText w:val="—"/>
      <w:lvlJc w:val="left"/>
      <w:pPr>
        <w:tabs>
          <w:tab w:val="num" w:pos="5040"/>
        </w:tabs>
        <w:ind w:left="5040" w:hanging="360"/>
      </w:pPr>
      <w:rPr>
        <w:rFonts w:ascii="Ericsson Hilda Light" w:hAnsi="Ericsson Hilda Light" w:hint="default"/>
      </w:rPr>
    </w:lvl>
    <w:lvl w:ilvl="7" w:tplc="82AEB6EC" w:tentative="1">
      <w:start w:val="1"/>
      <w:numFmt w:val="bullet"/>
      <w:lvlText w:val="—"/>
      <w:lvlJc w:val="left"/>
      <w:pPr>
        <w:tabs>
          <w:tab w:val="num" w:pos="5760"/>
        </w:tabs>
        <w:ind w:left="5760" w:hanging="360"/>
      </w:pPr>
      <w:rPr>
        <w:rFonts w:ascii="Ericsson Hilda Light" w:hAnsi="Ericsson Hilda Light" w:hint="default"/>
      </w:rPr>
    </w:lvl>
    <w:lvl w:ilvl="8" w:tplc="338A898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CBE7B1F"/>
    <w:multiLevelType w:val="hybridMultilevel"/>
    <w:tmpl w:val="A9280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2F00F2"/>
    <w:multiLevelType w:val="hybridMultilevel"/>
    <w:tmpl w:val="E8A815A0"/>
    <w:lvl w:ilvl="0" w:tplc="1444C642">
      <w:start w:val="1"/>
      <w:numFmt w:val="bullet"/>
      <w:lvlText w:val="—"/>
      <w:lvlJc w:val="left"/>
      <w:pPr>
        <w:tabs>
          <w:tab w:val="num" w:pos="720"/>
        </w:tabs>
        <w:ind w:left="720" w:hanging="360"/>
      </w:pPr>
      <w:rPr>
        <w:rFonts w:ascii="Ericsson Hilda Light" w:hAnsi="Ericsson Hilda Light" w:hint="default"/>
      </w:rPr>
    </w:lvl>
    <w:lvl w:ilvl="1" w:tplc="8CC00652">
      <w:start w:val="1"/>
      <w:numFmt w:val="bullet"/>
      <w:lvlText w:val="—"/>
      <w:lvlJc w:val="left"/>
      <w:pPr>
        <w:tabs>
          <w:tab w:val="num" w:pos="1440"/>
        </w:tabs>
        <w:ind w:left="1440" w:hanging="360"/>
      </w:pPr>
      <w:rPr>
        <w:rFonts w:ascii="Ericsson Hilda Light" w:hAnsi="Ericsson Hilda Light" w:hint="default"/>
      </w:rPr>
    </w:lvl>
    <w:lvl w:ilvl="2" w:tplc="F7EA7D0A" w:tentative="1">
      <w:start w:val="1"/>
      <w:numFmt w:val="bullet"/>
      <w:lvlText w:val="—"/>
      <w:lvlJc w:val="left"/>
      <w:pPr>
        <w:tabs>
          <w:tab w:val="num" w:pos="2160"/>
        </w:tabs>
        <w:ind w:left="2160" w:hanging="360"/>
      </w:pPr>
      <w:rPr>
        <w:rFonts w:ascii="Ericsson Hilda Light" w:hAnsi="Ericsson Hilda Light" w:hint="default"/>
      </w:rPr>
    </w:lvl>
    <w:lvl w:ilvl="3" w:tplc="6EA8A55E" w:tentative="1">
      <w:start w:val="1"/>
      <w:numFmt w:val="bullet"/>
      <w:lvlText w:val="—"/>
      <w:lvlJc w:val="left"/>
      <w:pPr>
        <w:tabs>
          <w:tab w:val="num" w:pos="2880"/>
        </w:tabs>
        <w:ind w:left="2880" w:hanging="360"/>
      </w:pPr>
      <w:rPr>
        <w:rFonts w:ascii="Ericsson Hilda Light" w:hAnsi="Ericsson Hilda Light" w:hint="default"/>
      </w:rPr>
    </w:lvl>
    <w:lvl w:ilvl="4" w:tplc="9A84468C" w:tentative="1">
      <w:start w:val="1"/>
      <w:numFmt w:val="bullet"/>
      <w:lvlText w:val="—"/>
      <w:lvlJc w:val="left"/>
      <w:pPr>
        <w:tabs>
          <w:tab w:val="num" w:pos="3600"/>
        </w:tabs>
        <w:ind w:left="3600" w:hanging="360"/>
      </w:pPr>
      <w:rPr>
        <w:rFonts w:ascii="Ericsson Hilda Light" w:hAnsi="Ericsson Hilda Light" w:hint="default"/>
      </w:rPr>
    </w:lvl>
    <w:lvl w:ilvl="5" w:tplc="D758F23E" w:tentative="1">
      <w:start w:val="1"/>
      <w:numFmt w:val="bullet"/>
      <w:lvlText w:val="—"/>
      <w:lvlJc w:val="left"/>
      <w:pPr>
        <w:tabs>
          <w:tab w:val="num" w:pos="4320"/>
        </w:tabs>
        <w:ind w:left="4320" w:hanging="360"/>
      </w:pPr>
      <w:rPr>
        <w:rFonts w:ascii="Ericsson Hilda Light" w:hAnsi="Ericsson Hilda Light" w:hint="default"/>
      </w:rPr>
    </w:lvl>
    <w:lvl w:ilvl="6" w:tplc="CF069904" w:tentative="1">
      <w:start w:val="1"/>
      <w:numFmt w:val="bullet"/>
      <w:lvlText w:val="—"/>
      <w:lvlJc w:val="left"/>
      <w:pPr>
        <w:tabs>
          <w:tab w:val="num" w:pos="5040"/>
        </w:tabs>
        <w:ind w:left="5040" w:hanging="360"/>
      </w:pPr>
      <w:rPr>
        <w:rFonts w:ascii="Ericsson Hilda Light" w:hAnsi="Ericsson Hilda Light" w:hint="default"/>
      </w:rPr>
    </w:lvl>
    <w:lvl w:ilvl="7" w:tplc="99609F92" w:tentative="1">
      <w:start w:val="1"/>
      <w:numFmt w:val="bullet"/>
      <w:lvlText w:val="—"/>
      <w:lvlJc w:val="left"/>
      <w:pPr>
        <w:tabs>
          <w:tab w:val="num" w:pos="5760"/>
        </w:tabs>
        <w:ind w:left="5760" w:hanging="360"/>
      </w:pPr>
      <w:rPr>
        <w:rFonts w:ascii="Ericsson Hilda Light" w:hAnsi="Ericsson Hilda Light" w:hint="default"/>
      </w:rPr>
    </w:lvl>
    <w:lvl w:ilvl="8" w:tplc="385C6C58"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7"/>
  </w:num>
  <w:num w:numId="3">
    <w:abstractNumId w:val="17"/>
  </w:num>
  <w:num w:numId="4">
    <w:abstractNumId w:val="11"/>
  </w:num>
  <w:num w:numId="5">
    <w:abstractNumId w:val="38"/>
  </w:num>
  <w:num w:numId="6">
    <w:abstractNumId w:val="20"/>
  </w:num>
  <w:num w:numId="7">
    <w:abstractNumId w:val="34"/>
  </w:num>
  <w:num w:numId="8">
    <w:abstractNumId w:val="40"/>
  </w:num>
  <w:num w:numId="9">
    <w:abstractNumId w:val="13"/>
  </w:num>
  <w:num w:numId="10">
    <w:abstractNumId w:val="19"/>
  </w:num>
  <w:num w:numId="11">
    <w:abstractNumId w:val="16"/>
  </w:num>
  <w:num w:numId="12">
    <w:abstractNumId w:val="45"/>
  </w:num>
  <w:num w:numId="13">
    <w:abstractNumId w:val="14"/>
  </w:num>
  <w:num w:numId="14">
    <w:abstractNumId w:val="21"/>
  </w:num>
  <w:num w:numId="15">
    <w:abstractNumId w:val="39"/>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5"/>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9"/>
  </w:num>
  <w:num w:numId="36">
    <w:abstractNumId w:val="27"/>
  </w:num>
  <w:num w:numId="37">
    <w:abstractNumId w:val="31"/>
  </w:num>
  <w:num w:numId="38">
    <w:abstractNumId w:val="33"/>
  </w:num>
  <w:num w:numId="39">
    <w:abstractNumId w:val="44"/>
  </w:num>
  <w:num w:numId="40">
    <w:abstractNumId w:val="35"/>
  </w:num>
  <w:num w:numId="41">
    <w:abstractNumId w:val="25"/>
  </w:num>
  <w:num w:numId="42">
    <w:abstractNumId w:val="42"/>
  </w:num>
  <w:num w:numId="43">
    <w:abstractNumId w:val="28"/>
  </w:num>
  <w:num w:numId="44">
    <w:abstractNumId w:val="43"/>
  </w:num>
  <w:num w:numId="45">
    <w:abstractNumId w:val="36"/>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589"/>
    <w:rsid w:val="000028DD"/>
    <w:rsid w:val="0000311A"/>
    <w:rsid w:val="0000455C"/>
    <w:rsid w:val="000059B7"/>
    <w:rsid w:val="00006CE2"/>
    <w:rsid w:val="00011902"/>
    <w:rsid w:val="00012285"/>
    <w:rsid w:val="00013C93"/>
    <w:rsid w:val="00020287"/>
    <w:rsid w:val="00020FFE"/>
    <w:rsid w:val="0002181B"/>
    <w:rsid w:val="00022A78"/>
    <w:rsid w:val="00026D09"/>
    <w:rsid w:val="00027BEA"/>
    <w:rsid w:val="000343D3"/>
    <w:rsid w:val="000362CF"/>
    <w:rsid w:val="0004162A"/>
    <w:rsid w:val="000420C1"/>
    <w:rsid w:val="00042D95"/>
    <w:rsid w:val="00044AEE"/>
    <w:rsid w:val="000464BA"/>
    <w:rsid w:val="0004760F"/>
    <w:rsid w:val="00050618"/>
    <w:rsid w:val="00054991"/>
    <w:rsid w:val="000559F7"/>
    <w:rsid w:val="0005707A"/>
    <w:rsid w:val="00061674"/>
    <w:rsid w:val="00061E0B"/>
    <w:rsid w:val="000627AF"/>
    <w:rsid w:val="000638A1"/>
    <w:rsid w:val="00063945"/>
    <w:rsid w:val="00064C83"/>
    <w:rsid w:val="000677EA"/>
    <w:rsid w:val="00070C3F"/>
    <w:rsid w:val="0007655C"/>
    <w:rsid w:val="00080B58"/>
    <w:rsid w:val="00080D29"/>
    <w:rsid w:val="00081027"/>
    <w:rsid w:val="0008686B"/>
    <w:rsid w:val="00090A12"/>
    <w:rsid w:val="0009603A"/>
    <w:rsid w:val="000A16B9"/>
    <w:rsid w:val="000A20E0"/>
    <w:rsid w:val="000A360E"/>
    <w:rsid w:val="000A7088"/>
    <w:rsid w:val="000A7328"/>
    <w:rsid w:val="000A787E"/>
    <w:rsid w:val="000B2AED"/>
    <w:rsid w:val="000B47D4"/>
    <w:rsid w:val="000B593C"/>
    <w:rsid w:val="000C0661"/>
    <w:rsid w:val="000C2CCE"/>
    <w:rsid w:val="000C3430"/>
    <w:rsid w:val="000C411F"/>
    <w:rsid w:val="000C4330"/>
    <w:rsid w:val="000C6C63"/>
    <w:rsid w:val="000C7C9F"/>
    <w:rsid w:val="000D069C"/>
    <w:rsid w:val="000D1253"/>
    <w:rsid w:val="000D2C35"/>
    <w:rsid w:val="000E2DC8"/>
    <w:rsid w:val="000E47A9"/>
    <w:rsid w:val="000E6807"/>
    <w:rsid w:val="000F2D1B"/>
    <w:rsid w:val="00104ACF"/>
    <w:rsid w:val="00104B6A"/>
    <w:rsid w:val="00104C28"/>
    <w:rsid w:val="001065E3"/>
    <w:rsid w:val="001069AD"/>
    <w:rsid w:val="00106C7C"/>
    <w:rsid w:val="001110F7"/>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37A66"/>
    <w:rsid w:val="001405E9"/>
    <w:rsid w:val="00141033"/>
    <w:rsid w:val="001412DA"/>
    <w:rsid w:val="00141635"/>
    <w:rsid w:val="001418FF"/>
    <w:rsid w:val="00142BF2"/>
    <w:rsid w:val="00143DE0"/>
    <w:rsid w:val="001460AC"/>
    <w:rsid w:val="00147469"/>
    <w:rsid w:val="00147E07"/>
    <w:rsid w:val="00150EAC"/>
    <w:rsid w:val="00151325"/>
    <w:rsid w:val="0015199E"/>
    <w:rsid w:val="00160172"/>
    <w:rsid w:val="001610DC"/>
    <w:rsid w:val="00164767"/>
    <w:rsid w:val="001648FB"/>
    <w:rsid w:val="001659F2"/>
    <w:rsid w:val="00172634"/>
    <w:rsid w:val="00172C20"/>
    <w:rsid w:val="00175026"/>
    <w:rsid w:val="0018431E"/>
    <w:rsid w:val="001845B1"/>
    <w:rsid w:val="00190BB4"/>
    <w:rsid w:val="00191C5C"/>
    <w:rsid w:val="001924EE"/>
    <w:rsid w:val="00192610"/>
    <w:rsid w:val="001940D3"/>
    <w:rsid w:val="00194E7F"/>
    <w:rsid w:val="00195D5A"/>
    <w:rsid w:val="001A241E"/>
    <w:rsid w:val="001A3300"/>
    <w:rsid w:val="001A7903"/>
    <w:rsid w:val="001A7BB7"/>
    <w:rsid w:val="001B1926"/>
    <w:rsid w:val="001B241A"/>
    <w:rsid w:val="001B5A6D"/>
    <w:rsid w:val="001C0ADE"/>
    <w:rsid w:val="001C219C"/>
    <w:rsid w:val="001C246E"/>
    <w:rsid w:val="001C6BCF"/>
    <w:rsid w:val="001D01C0"/>
    <w:rsid w:val="001D5744"/>
    <w:rsid w:val="001D5EC7"/>
    <w:rsid w:val="001E6A9C"/>
    <w:rsid w:val="001F13E9"/>
    <w:rsid w:val="001F5CA1"/>
    <w:rsid w:val="00200393"/>
    <w:rsid w:val="00201004"/>
    <w:rsid w:val="002013B3"/>
    <w:rsid w:val="0020690A"/>
    <w:rsid w:val="002079B4"/>
    <w:rsid w:val="002114D0"/>
    <w:rsid w:val="00211629"/>
    <w:rsid w:val="00212767"/>
    <w:rsid w:val="002129BC"/>
    <w:rsid w:val="00215AB2"/>
    <w:rsid w:val="00217ECC"/>
    <w:rsid w:val="0022154F"/>
    <w:rsid w:val="00225E2B"/>
    <w:rsid w:val="00226C55"/>
    <w:rsid w:val="00231D20"/>
    <w:rsid w:val="0023429F"/>
    <w:rsid w:val="0023508B"/>
    <w:rsid w:val="0023549A"/>
    <w:rsid w:val="00236881"/>
    <w:rsid w:val="00241371"/>
    <w:rsid w:val="00241971"/>
    <w:rsid w:val="00244267"/>
    <w:rsid w:val="00245672"/>
    <w:rsid w:val="002500A8"/>
    <w:rsid w:val="00250587"/>
    <w:rsid w:val="00260EC7"/>
    <w:rsid w:val="002733D0"/>
    <w:rsid w:val="00273C32"/>
    <w:rsid w:val="00274E81"/>
    <w:rsid w:val="00275052"/>
    <w:rsid w:val="00281BCA"/>
    <w:rsid w:val="00283532"/>
    <w:rsid w:val="00283E2E"/>
    <w:rsid w:val="00286831"/>
    <w:rsid w:val="0028711E"/>
    <w:rsid w:val="00290477"/>
    <w:rsid w:val="00295270"/>
    <w:rsid w:val="00297106"/>
    <w:rsid w:val="002971AA"/>
    <w:rsid w:val="002A13F2"/>
    <w:rsid w:val="002A16F8"/>
    <w:rsid w:val="002A1E2D"/>
    <w:rsid w:val="002A2E7B"/>
    <w:rsid w:val="002A3700"/>
    <w:rsid w:val="002A582A"/>
    <w:rsid w:val="002A70F0"/>
    <w:rsid w:val="002A7E85"/>
    <w:rsid w:val="002B1EE7"/>
    <w:rsid w:val="002B4ECF"/>
    <w:rsid w:val="002C1EF6"/>
    <w:rsid w:val="002C4082"/>
    <w:rsid w:val="002C6AEE"/>
    <w:rsid w:val="002D0E48"/>
    <w:rsid w:val="002E0414"/>
    <w:rsid w:val="002E083F"/>
    <w:rsid w:val="002E1A79"/>
    <w:rsid w:val="002E4760"/>
    <w:rsid w:val="002F3825"/>
    <w:rsid w:val="002F4578"/>
    <w:rsid w:val="002F60DB"/>
    <w:rsid w:val="002F703D"/>
    <w:rsid w:val="00306D5D"/>
    <w:rsid w:val="00310765"/>
    <w:rsid w:val="00314A99"/>
    <w:rsid w:val="003179D6"/>
    <w:rsid w:val="00317DFB"/>
    <w:rsid w:val="00321A47"/>
    <w:rsid w:val="00322341"/>
    <w:rsid w:val="003243AA"/>
    <w:rsid w:val="00324C91"/>
    <w:rsid w:val="0032761C"/>
    <w:rsid w:val="0033189C"/>
    <w:rsid w:val="00331E55"/>
    <w:rsid w:val="00336C95"/>
    <w:rsid w:val="00341B31"/>
    <w:rsid w:val="0034374B"/>
    <w:rsid w:val="00347B89"/>
    <w:rsid w:val="00352BFE"/>
    <w:rsid w:val="0035547C"/>
    <w:rsid w:val="003562BE"/>
    <w:rsid w:val="003567A9"/>
    <w:rsid w:val="00361092"/>
    <w:rsid w:val="003730EF"/>
    <w:rsid w:val="0037552C"/>
    <w:rsid w:val="0037629E"/>
    <w:rsid w:val="0037719E"/>
    <w:rsid w:val="0038247B"/>
    <w:rsid w:val="00383177"/>
    <w:rsid w:val="0038396E"/>
    <w:rsid w:val="00393247"/>
    <w:rsid w:val="00395015"/>
    <w:rsid w:val="003A5C51"/>
    <w:rsid w:val="003B51D9"/>
    <w:rsid w:val="003B5CD6"/>
    <w:rsid w:val="003C042B"/>
    <w:rsid w:val="003C1556"/>
    <w:rsid w:val="003C1C5D"/>
    <w:rsid w:val="003C6C3C"/>
    <w:rsid w:val="003D0818"/>
    <w:rsid w:val="003D09AA"/>
    <w:rsid w:val="003D49F3"/>
    <w:rsid w:val="003D7733"/>
    <w:rsid w:val="003E0C22"/>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5E8B"/>
    <w:rsid w:val="004163CF"/>
    <w:rsid w:val="0041785F"/>
    <w:rsid w:val="00421086"/>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329A"/>
    <w:rsid w:val="004976F2"/>
    <w:rsid w:val="004A0910"/>
    <w:rsid w:val="004A5FD9"/>
    <w:rsid w:val="004A65B5"/>
    <w:rsid w:val="004A7071"/>
    <w:rsid w:val="004B0216"/>
    <w:rsid w:val="004B10DE"/>
    <w:rsid w:val="004B17E2"/>
    <w:rsid w:val="004B4D17"/>
    <w:rsid w:val="004B6753"/>
    <w:rsid w:val="004B6872"/>
    <w:rsid w:val="004B6AA1"/>
    <w:rsid w:val="004C033A"/>
    <w:rsid w:val="004C38C3"/>
    <w:rsid w:val="004C563D"/>
    <w:rsid w:val="004C7383"/>
    <w:rsid w:val="004C74AF"/>
    <w:rsid w:val="004C7E14"/>
    <w:rsid w:val="004D10CC"/>
    <w:rsid w:val="004D1CEB"/>
    <w:rsid w:val="004E002D"/>
    <w:rsid w:val="004E135B"/>
    <w:rsid w:val="004E26A8"/>
    <w:rsid w:val="004E2910"/>
    <w:rsid w:val="004E4674"/>
    <w:rsid w:val="004E548A"/>
    <w:rsid w:val="004F063D"/>
    <w:rsid w:val="004F4854"/>
    <w:rsid w:val="004F6067"/>
    <w:rsid w:val="004F62E1"/>
    <w:rsid w:val="004F7D76"/>
    <w:rsid w:val="005000ED"/>
    <w:rsid w:val="0050109B"/>
    <w:rsid w:val="0050273A"/>
    <w:rsid w:val="0050304F"/>
    <w:rsid w:val="00505AC7"/>
    <w:rsid w:val="005073E2"/>
    <w:rsid w:val="00510DAC"/>
    <w:rsid w:val="00510E04"/>
    <w:rsid w:val="00513A0A"/>
    <w:rsid w:val="00514C2F"/>
    <w:rsid w:val="0051517D"/>
    <w:rsid w:val="00516650"/>
    <w:rsid w:val="0051782B"/>
    <w:rsid w:val="00517B15"/>
    <w:rsid w:val="0052219A"/>
    <w:rsid w:val="00522CAB"/>
    <w:rsid w:val="005241C8"/>
    <w:rsid w:val="0052581A"/>
    <w:rsid w:val="00532DB1"/>
    <w:rsid w:val="00536FA1"/>
    <w:rsid w:val="00542513"/>
    <w:rsid w:val="005433FA"/>
    <w:rsid w:val="00545B4A"/>
    <w:rsid w:val="00545B6C"/>
    <w:rsid w:val="00552732"/>
    <w:rsid w:val="00555E44"/>
    <w:rsid w:val="005575FA"/>
    <w:rsid w:val="00560550"/>
    <w:rsid w:val="00564D25"/>
    <w:rsid w:val="00566CF0"/>
    <w:rsid w:val="0057505D"/>
    <w:rsid w:val="00575E8D"/>
    <w:rsid w:val="00583C42"/>
    <w:rsid w:val="00584739"/>
    <w:rsid w:val="00585607"/>
    <w:rsid w:val="00590AD4"/>
    <w:rsid w:val="00593BA2"/>
    <w:rsid w:val="00594CE5"/>
    <w:rsid w:val="005950C4"/>
    <w:rsid w:val="005A10D4"/>
    <w:rsid w:val="005A4001"/>
    <w:rsid w:val="005B0E5B"/>
    <w:rsid w:val="005B4B64"/>
    <w:rsid w:val="005B7E9E"/>
    <w:rsid w:val="005C16E7"/>
    <w:rsid w:val="005C370C"/>
    <w:rsid w:val="005C4644"/>
    <w:rsid w:val="005C65A3"/>
    <w:rsid w:val="005D1894"/>
    <w:rsid w:val="005D235A"/>
    <w:rsid w:val="005D2B60"/>
    <w:rsid w:val="005D2FD4"/>
    <w:rsid w:val="005D4EEC"/>
    <w:rsid w:val="005D6CCC"/>
    <w:rsid w:val="005D6EA6"/>
    <w:rsid w:val="005E0137"/>
    <w:rsid w:val="005E02ED"/>
    <w:rsid w:val="005E15C6"/>
    <w:rsid w:val="005E42AD"/>
    <w:rsid w:val="005E5482"/>
    <w:rsid w:val="005E6CA0"/>
    <w:rsid w:val="005E6F22"/>
    <w:rsid w:val="005F2971"/>
    <w:rsid w:val="005F42F6"/>
    <w:rsid w:val="005F7274"/>
    <w:rsid w:val="005F7968"/>
    <w:rsid w:val="006019E3"/>
    <w:rsid w:val="00601A2D"/>
    <w:rsid w:val="00602B94"/>
    <w:rsid w:val="00602F9F"/>
    <w:rsid w:val="00603CCA"/>
    <w:rsid w:val="006066CB"/>
    <w:rsid w:val="00607614"/>
    <w:rsid w:val="00610534"/>
    <w:rsid w:val="0061135E"/>
    <w:rsid w:val="00620158"/>
    <w:rsid w:val="00625E30"/>
    <w:rsid w:val="00630BF2"/>
    <w:rsid w:val="006326B2"/>
    <w:rsid w:val="006339DA"/>
    <w:rsid w:val="00634060"/>
    <w:rsid w:val="0063492F"/>
    <w:rsid w:val="00634B5D"/>
    <w:rsid w:val="00637688"/>
    <w:rsid w:val="00643F10"/>
    <w:rsid w:val="006449C9"/>
    <w:rsid w:val="00647526"/>
    <w:rsid w:val="0065698D"/>
    <w:rsid w:val="00657C7A"/>
    <w:rsid w:val="0066119A"/>
    <w:rsid w:val="00664529"/>
    <w:rsid w:val="00666EB6"/>
    <w:rsid w:val="006677BB"/>
    <w:rsid w:val="006731F3"/>
    <w:rsid w:val="006763E9"/>
    <w:rsid w:val="00676DAD"/>
    <w:rsid w:val="00682662"/>
    <w:rsid w:val="00685EC0"/>
    <w:rsid w:val="00690466"/>
    <w:rsid w:val="00691624"/>
    <w:rsid w:val="00691AA7"/>
    <w:rsid w:val="00692E42"/>
    <w:rsid w:val="0069331A"/>
    <w:rsid w:val="006A3181"/>
    <w:rsid w:val="006A39AE"/>
    <w:rsid w:val="006A6639"/>
    <w:rsid w:val="006B37FE"/>
    <w:rsid w:val="006B41D7"/>
    <w:rsid w:val="006B5B69"/>
    <w:rsid w:val="006B5BD4"/>
    <w:rsid w:val="006B6B15"/>
    <w:rsid w:val="006C20C4"/>
    <w:rsid w:val="006C25D9"/>
    <w:rsid w:val="006C5FC1"/>
    <w:rsid w:val="006C7C34"/>
    <w:rsid w:val="006D151A"/>
    <w:rsid w:val="006D1813"/>
    <w:rsid w:val="006D2E50"/>
    <w:rsid w:val="006D5962"/>
    <w:rsid w:val="006E27D1"/>
    <w:rsid w:val="006E5B76"/>
    <w:rsid w:val="006E7D43"/>
    <w:rsid w:val="006F30A0"/>
    <w:rsid w:val="007020DE"/>
    <w:rsid w:val="0070422F"/>
    <w:rsid w:val="00704408"/>
    <w:rsid w:val="007045A8"/>
    <w:rsid w:val="00712CDD"/>
    <w:rsid w:val="00712DC4"/>
    <w:rsid w:val="0071555E"/>
    <w:rsid w:val="00715AD9"/>
    <w:rsid w:val="00717D75"/>
    <w:rsid w:val="007215C8"/>
    <w:rsid w:val="007244BF"/>
    <w:rsid w:val="00725A44"/>
    <w:rsid w:val="007269ED"/>
    <w:rsid w:val="00730790"/>
    <w:rsid w:val="0073304A"/>
    <w:rsid w:val="00733FF8"/>
    <w:rsid w:val="00734D32"/>
    <w:rsid w:val="00740114"/>
    <w:rsid w:val="007408D3"/>
    <w:rsid w:val="00741152"/>
    <w:rsid w:val="00745917"/>
    <w:rsid w:val="00750D3B"/>
    <w:rsid w:val="007525A4"/>
    <w:rsid w:val="00755199"/>
    <w:rsid w:val="00761EC2"/>
    <w:rsid w:val="00764CCE"/>
    <w:rsid w:val="00767213"/>
    <w:rsid w:val="0077286C"/>
    <w:rsid w:val="0077364B"/>
    <w:rsid w:val="00773DC4"/>
    <w:rsid w:val="00776F25"/>
    <w:rsid w:val="00777601"/>
    <w:rsid w:val="007817C4"/>
    <w:rsid w:val="00782D8E"/>
    <w:rsid w:val="007837C7"/>
    <w:rsid w:val="0078486D"/>
    <w:rsid w:val="00787E14"/>
    <w:rsid w:val="007919BD"/>
    <w:rsid w:val="00797CEE"/>
    <w:rsid w:val="007A3678"/>
    <w:rsid w:val="007A7AB2"/>
    <w:rsid w:val="007B149C"/>
    <w:rsid w:val="007B23E4"/>
    <w:rsid w:val="007B6896"/>
    <w:rsid w:val="007C0B18"/>
    <w:rsid w:val="007C2EF2"/>
    <w:rsid w:val="007C3BC8"/>
    <w:rsid w:val="007C4779"/>
    <w:rsid w:val="007C51DD"/>
    <w:rsid w:val="007C52AF"/>
    <w:rsid w:val="007C65AB"/>
    <w:rsid w:val="007E0288"/>
    <w:rsid w:val="007E0620"/>
    <w:rsid w:val="007E0821"/>
    <w:rsid w:val="007E264A"/>
    <w:rsid w:val="007E2E1A"/>
    <w:rsid w:val="007E4883"/>
    <w:rsid w:val="007E685E"/>
    <w:rsid w:val="007F20CE"/>
    <w:rsid w:val="007F47DE"/>
    <w:rsid w:val="007F4DC3"/>
    <w:rsid w:val="007F72E1"/>
    <w:rsid w:val="008016A0"/>
    <w:rsid w:val="00802567"/>
    <w:rsid w:val="00803518"/>
    <w:rsid w:val="00805A8C"/>
    <w:rsid w:val="00810144"/>
    <w:rsid w:val="0081079F"/>
    <w:rsid w:val="00811F16"/>
    <w:rsid w:val="00812433"/>
    <w:rsid w:val="008165F9"/>
    <w:rsid w:val="00817FB2"/>
    <w:rsid w:val="00825DCB"/>
    <w:rsid w:val="00830043"/>
    <w:rsid w:val="00833119"/>
    <w:rsid w:val="00834DE3"/>
    <w:rsid w:val="008420A9"/>
    <w:rsid w:val="00842FC0"/>
    <w:rsid w:val="008440E1"/>
    <w:rsid w:val="00845C8A"/>
    <w:rsid w:val="00845DEA"/>
    <w:rsid w:val="0084641A"/>
    <w:rsid w:val="008525D5"/>
    <w:rsid w:val="008576A8"/>
    <w:rsid w:val="00864238"/>
    <w:rsid w:val="00864DE0"/>
    <w:rsid w:val="00872D59"/>
    <w:rsid w:val="008751B4"/>
    <w:rsid w:val="00876ABB"/>
    <w:rsid w:val="00882664"/>
    <w:rsid w:val="00883E66"/>
    <w:rsid w:val="00887CFE"/>
    <w:rsid w:val="00891598"/>
    <w:rsid w:val="00892BE1"/>
    <w:rsid w:val="00892FED"/>
    <w:rsid w:val="0089369E"/>
    <w:rsid w:val="0089383E"/>
    <w:rsid w:val="00895B54"/>
    <w:rsid w:val="0089695F"/>
    <w:rsid w:val="008A553B"/>
    <w:rsid w:val="008A5D84"/>
    <w:rsid w:val="008A6AFF"/>
    <w:rsid w:val="008B3302"/>
    <w:rsid w:val="008B36BD"/>
    <w:rsid w:val="008B5C1B"/>
    <w:rsid w:val="008B77BA"/>
    <w:rsid w:val="008C226A"/>
    <w:rsid w:val="008C3CEF"/>
    <w:rsid w:val="008C3DE9"/>
    <w:rsid w:val="008C4571"/>
    <w:rsid w:val="008C48B7"/>
    <w:rsid w:val="008C5D0F"/>
    <w:rsid w:val="008D2230"/>
    <w:rsid w:val="008D29D3"/>
    <w:rsid w:val="008D511C"/>
    <w:rsid w:val="008D6D7C"/>
    <w:rsid w:val="008E0B00"/>
    <w:rsid w:val="008E1744"/>
    <w:rsid w:val="008E251D"/>
    <w:rsid w:val="008E78DC"/>
    <w:rsid w:val="008F2A88"/>
    <w:rsid w:val="008F2E63"/>
    <w:rsid w:val="008F2FBD"/>
    <w:rsid w:val="008F34B1"/>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48CA"/>
    <w:rsid w:val="00946BC1"/>
    <w:rsid w:val="00947EDE"/>
    <w:rsid w:val="00950C93"/>
    <w:rsid w:val="009518A0"/>
    <w:rsid w:val="0095458B"/>
    <w:rsid w:val="00954AEC"/>
    <w:rsid w:val="00955B10"/>
    <w:rsid w:val="00957804"/>
    <w:rsid w:val="00961790"/>
    <w:rsid w:val="009647EA"/>
    <w:rsid w:val="00965FE1"/>
    <w:rsid w:val="009661B0"/>
    <w:rsid w:val="00966569"/>
    <w:rsid w:val="00966906"/>
    <w:rsid w:val="009669EC"/>
    <w:rsid w:val="00967CC9"/>
    <w:rsid w:val="009725D1"/>
    <w:rsid w:val="00972AAC"/>
    <w:rsid w:val="00975516"/>
    <w:rsid w:val="00976053"/>
    <w:rsid w:val="00977BBB"/>
    <w:rsid w:val="00985517"/>
    <w:rsid w:val="00985612"/>
    <w:rsid w:val="00991180"/>
    <w:rsid w:val="009938ED"/>
    <w:rsid w:val="009A0FD5"/>
    <w:rsid w:val="009A1476"/>
    <w:rsid w:val="009B7330"/>
    <w:rsid w:val="009C0ACC"/>
    <w:rsid w:val="009C38E7"/>
    <w:rsid w:val="009C6E39"/>
    <w:rsid w:val="009D11CF"/>
    <w:rsid w:val="009D3D40"/>
    <w:rsid w:val="009D6008"/>
    <w:rsid w:val="009D725A"/>
    <w:rsid w:val="009E035E"/>
    <w:rsid w:val="009E744B"/>
    <w:rsid w:val="009E7C72"/>
    <w:rsid w:val="009F02FA"/>
    <w:rsid w:val="009F0A0C"/>
    <w:rsid w:val="009F139E"/>
    <w:rsid w:val="009F567F"/>
    <w:rsid w:val="009F751D"/>
    <w:rsid w:val="00A029DE"/>
    <w:rsid w:val="00A04AFF"/>
    <w:rsid w:val="00A074E8"/>
    <w:rsid w:val="00A10B08"/>
    <w:rsid w:val="00A11091"/>
    <w:rsid w:val="00A128F5"/>
    <w:rsid w:val="00A172D8"/>
    <w:rsid w:val="00A2051A"/>
    <w:rsid w:val="00A22376"/>
    <w:rsid w:val="00A224F1"/>
    <w:rsid w:val="00A22EF1"/>
    <w:rsid w:val="00A24190"/>
    <w:rsid w:val="00A26DA9"/>
    <w:rsid w:val="00A27224"/>
    <w:rsid w:val="00A27CCB"/>
    <w:rsid w:val="00A3035F"/>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4B6A"/>
    <w:rsid w:val="00A67B53"/>
    <w:rsid w:val="00A70266"/>
    <w:rsid w:val="00A7695D"/>
    <w:rsid w:val="00A769F6"/>
    <w:rsid w:val="00A80338"/>
    <w:rsid w:val="00A8258B"/>
    <w:rsid w:val="00A8485B"/>
    <w:rsid w:val="00A87D00"/>
    <w:rsid w:val="00A91674"/>
    <w:rsid w:val="00A92227"/>
    <w:rsid w:val="00A96597"/>
    <w:rsid w:val="00AA36EE"/>
    <w:rsid w:val="00AA60EA"/>
    <w:rsid w:val="00AA61B3"/>
    <w:rsid w:val="00AA7495"/>
    <w:rsid w:val="00AB5F1A"/>
    <w:rsid w:val="00AB6F51"/>
    <w:rsid w:val="00AB701F"/>
    <w:rsid w:val="00AC0E27"/>
    <w:rsid w:val="00AC54BC"/>
    <w:rsid w:val="00AC63CE"/>
    <w:rsid w:val="00AC644A"/>
    <w:rsid w:val="00AC7FF2"/>
    <w:rsid w:val="00AD4B91"/>
    <w:rsid w:val="00AD54BC"/>
    <w:rsid w:val="00AE052B"/>
    <w:rsid w:val="00AE51B6"/>
    <w:rsid w:val="00AE55BF"/>
    <w:rsid w:val="00AE57F7"/>
    <w:rsid w:val="00AF02A2"/>
    <w:rsid w:val="00AF188F"/>
    <w:rsid w:val="00AF5EB7"/>
    <w:rsid w:val="00AF6208"/>
    <w:rsid w:val="00AF71DD"/>
    <w:rsid w:val="00B045F5"/>
    <w:rsid w:val="00B04F39"/>
    <w:rsid w:val="00B0646F"/>
    <w:rsid w:val="00B13B51"/>
    <w:rsid w:val="00B23DCA"/>
    <w:rsid w:val="00B250D5"/>
    <w:rsid w:val="00B26CFB"/>
    <w:rsid w:val="00B32D49"/>
    <w:rsid w:val="00B404D4"/>
    <w:rsid w:val="00B4455E"/>
    <w:rsid w:val="00B4464E"/>
    <w:rsid w:val="00B44CFE"/>
    <w:rsid w:val="00B46189"/>
    <w:rsid w:val="00B52E2A"/>
    <w:rsid w:val="00B53F51"/>
    <w:rsid w:val="00B54454"/>
    <w:rsid w:val="00B5774B"/>
    <w:rsid w:val="00B57B3A"/>
    <w:rsid w:val="00B623B4"/>
    <w:rsid w:val="00B6314F"/>
    <w:rsid w:val="00B6392E"/>
    <w:rsid w:val="00B63FCB"/>
    <w:rsid w:val="00B6495E"/>
    <w:rsid w:val="00B64AC6"/>
    <w:rsid w:val="00B653C0"/>
    <w:rsid w:val="00B701C2"/>
    <w:rsid w:val="00B71D9F"/>
    <w:rsid w:val="00B72AEF"/>
    <w:rsid w:val="00B73D08"/>
    <w:rsid w:val="00B77417"/>
    <w:rsid w:val="00B843DF"/>
    <w:rsid w:val="00B856BE"/>
    <w:rsid w:val="00B85A59"/>
    <w:rsid w:val="00B91281"/>
    <w:rsid w:val="00B9285F"/>
    <w:rsid w:val="00B92FD5"/>
    <w:rsid w:val="00B93A99"/>
    <w:rsid w:val="00B94AB5"/>
    <w:rsid w:val="00B95CD3"/>
    <w:rsid w:val="00B963AC"/>
    <w:rsid w:val="00BA1E62"/>
    <w:rsid w:val="00BA633E"/>
    <w:rsid w:val="00BA70D1"/>
    <w:rsid w:val="00BB316F"/>
    <w:rsid w:val="00BB39E9"/>
    <w:rsid w:val="00BC02B0"/>
    <w:rsid w:val="00BC63CF"/>
    <w:rsid w:val="00BC740F"/>
    <w:rsid w:val="00BD097D"/>
    <w:rsid w:val="00BD0CC3"/>
    <w:rsid w:val="00BD12AC"/>
    <w:rsid w:val="00BD21CB"/>
    <w:rsid w:val="00BD34F9"/>
    <w:rsid w:val="00BD509E"/>
    <w:rsid w:val="00BD57B1"/>
    <w:rsid w:val="00BD64D2"/>
    <w:rsid w:val="00BE0927"/>
    <w:rsid w:val="00BE0EBF"/>
    <w:rsid w:val="00BE4B38"/>
    <w:rsid w:val="00BE4D1B"/>
    <w:rsid w:val="00BE60F6"/>
    <w:rsid w:val="00BF2875"/>
    <w:rsid w:val="00BF69E7"/>
    <w:rsid w:val="00BF7D26"/>
    <w:rsid w:val="00C02D53"/>
    <w:rsid w:val="00C04478"/>
    <w:rsid w:val="00C04BF5"/>
    <w:rsid w:val="00C04DC6"/>
    <w:rsid w:val="00C126DD"/>
    <w:rsid w:val="00C12748"/>
    <w:rsid w:val="00C145B6"/>
    <w:rsid w:val="00C15E48"/>
    <w:rsid w:val="00C171EC"/>
    <w:rsid w:val="00C20CA4"/>
    <w:rsid w:val="00C24ACA"/>
    <w:rsid w:val="00C26256"/>
    <w:rsid w:val="00C26E25"/>
    <w:rsid w:val="00C35252"/>
    <w:rsid w:val="00C36420"/>
    <w:rsid w:val="00C36C06"/>
    <w:rsid w:val="00C41466"/>
    <w:rsid w:val="00C42B62"/>
    <w:rsid w:val="00C4368F"/>
    <w:rsid w:val="00C437F8"/>
    <w:rsid w:val="00C4384B"/>
    <w:rsid w:val="00C45330"/>
    <w:rsid w:val="00C466E8"/>
    <w:rsid w:val="00C46E1E"/>
    <w:rsid w:val="00C479AB"/>
    <w:rsid w:val="00C51B6E"/>
    <w:rsid w:val="00C533D1"/>
    <w:rsid w:val="00C55325"/>
    <w:rsid w:val="00C5569B"/>
    <w:rsid w:val="00C57488"/>
    <w:rsid w:val="00C5788F"/>
    <w:rsid w:val="00C603C4"/>
    <w:rsid w:val="00C605BE"/>
    <w:rsid w:val="00C631E3"/>
    <w:rsid w:val="00C64B7B"/>
    <w:rsid w:val="00C64ED3"/>
    <w:rsid w:val="00C669E7"/>
    <w:rsid w:val="00C67066"/>
    <w:rsid w:val="00C73834"/>
    <w:rsid w:val="00C7413F"/>
    <w:rsid w:val="00C74C29"/>
    <w:rsid w:val="00C75606"/>
    <w:rsid w:val="00C75B1C"/>
    <w:rsid w:val="00C76248"/>
    <w:rsid w:val="00C7694B"/>
    <w:rsid w:val="00C800BD"/>
    <w:rsid w:val="00C81E71"/>
    <w:rsid w:val="00C827E0"/>
    <w:rsid w:val="00C953B2"/>
    <w:rsid w:val="00C96A72"/>
    <w:rsid w:val="00C9729B"/>
    <w:rsid w:val="00CA1C76"/>
    <w:rsid w:val="00CA280A"/>
    <w:rsid w:val="00CA315B"/>
    <w:rsid w:val="00CA35EE"/>
    <w:rsid w:val="00CB1753"/>
    <w:rsid w:val="00CB2864"/>
    <w:rsid w:val="00CB6C81"/>
    <w:rsid w:val="00CC00D8"/>
    <w:rsid w:val="00CC1F1A"/>
    <w:rsid w:val="00CC2C63"/>
    <w:rsid w:val="00CC308A"/>
    <w:rsid w:val="00CC5C27"/>
    <w:rsid w:val="00CC6376"/>
    <w:rsid w:val="00CD432D"/>
    <w:rsid w:val="00CD51AF"/>
    <w:rsid w:val="00CD566B"/>
    <w:rsid w:val="00CD67B3"/>
    <w:rsid w:val="00CE3462"/>
    <w:rsid w:val="00CE373D"/>
    <w:rsid w:val="00CE5E4D"/>
    <w:rsid w:val="00CE7E96"/>
    <w:rsid w:val="00CF0562"/>
    <w:rsid w:val="00CF1B9A"/>
    <w:rsid w:val="00CF2221"/>
    <w:rsid w:val="00D004D5"/>
    <w:rsid w:val="00D00DA2"/>
    <w:rsid w:val="00D02FE1"/>
    <w:rsid w:val="00D0379B"/>
    <w:rsid w:val="00D043A7"/>
    <w:rsid w:val="00D11924"/>
    <w:rsid w:val="00D121A1"/>
    <w:rsid w:val="00D13FDC"/>
    <w:rsid w:val="00D14142"/>
    <w:rsid w:val="00D15489"/>
    <w:rsid w:val="00D15C2B"/>
    <w:rsid w:val="00D15E85"/>
    <w:rsid w:val="00D17AE2"/>
    <w:rsid w:val="00D205FF"/>
    <w:rsid w:val="00D22BA9"/>
    <w:rsid w:val="00D23618"/>
    <w:rsid w:val="00D26468"/>
    <w:rsid w:val="00D32097"/>
    <w:rsid w:val="00D32CB4"/>
    <w:rsid w:val="00D35E98"/>
    <w:rsid w:val="00D3620C"/>
    <w:rsid w:val="00D40B0B"/>
    <w:rsid w:val="00D4768F"/>
    <w:rsid w:val="00D50863"/>
    <w:rsid w:val="00D518CA"/>
    <w:rsid w:val="00D51F05"/>
    <w:rsid w:val="00D524D2"/>
    <w:rsid w:val="00D53C43"/>
    <w:rsid w:val="00D55275"/>
    <w:rsid w:val="00D56465"/>
    <w:rsid w:val="00D565E3"/>
    <w:rsid w:val="00D56A5F"/>
    <w:rsid w:val="00D60A8B"/>
    <w:rsid w:val="00D63F57"/>
    <w:rsid w:val="00D64441"/>
    <w:rsid w:val="00D679BA"/>
    <w:rsid w:val="00D74E12"/>
    <w:rsid w:val="00D81F6F"/>
    <w:rsid w:val="00D82E74"/>
    <w:rsid w:val="00D85F6F"/>
    <w:rsid w:val="00D86052"/>
    <w:rsid w:val="00D87F0D"/>
    <w:rsid w:val="00D92185"/>
    <w:rsid w:val="00D936ED"/>
    <w:rsid w:val="00D9529D"/>
    <w:rsid w:val="00D95D58"/>
    <w:rsid w:val="00D97D81"/>
    <w:rsid w:val="00DA42FF"/>
    <w:rsid w:val="00DA6F2D"/>
    <w:rsid w:val="00DB4026"/>
    <w:rsid w:val="00DB4F7D"/>
    <w:rsid w:val="00DB5BC6"/>
    <w:rsid w:val="00DB66D3"/>
    <w:rsid w:val="00DC1553"/>
    <w:rsid w:val="00DC5ABB"/>
    <w:rsid w:val="00DD1FEC"/>
    <w:rsid w:val="00DD43B0"/>
    <w:rsid w:val="00DD5520"/>
    <w:rsid w:val="00DD7378"/>
    <w:rsid w:val="00DE27BC"/>
    <w:rsid w:val="00DE4C37"/>
    <w:rsid w:val="00DE5650"/>
    <w:rsid w:val="00DE6127"/>
    <w:rsid w:val="00DF0630"/>
    <w:rsid w:val="00DF2ACA"/>
    <w:rsid w:val="00E005F2"/>
    <w:rsid w:val="00E0108F"/>
    <w:rsid w:val="00E043CB"/>
    <w:rsid w:val="00E045D3"/>
    <w:rsid w:val="00E11EE1"/>
    <w:rsid w:val="00E1349E"/>
    <w:rsid w:val="00E1451D"/>
    <w:rsid w:val="00E16784"/>
    <w:rsid w:val="00E20796"/>
    <w:rsid w:val="00E21216"/>
    <w:rsid w:val="00E2135F"/>
    <w:rsid w:val="00E222D7"/>
    <w:rsid w:val="00E2438D"/>
    <w:rsid w:val="00E24A3F"/>
    <w:rsid w:val="00E25297"/>
    <w:rsid w:val="00E331C0"/>
    <w:rsid w:val="00E34134"/>
    <w:rsid w:val="00E34263"/>
    <w:rsid w:val="00E35947"/>
    <w:rsid w:val="00E36CB2"/>
    <w:rsid w:val="00E40A51"/>
    <w:rsid w:val="00E40F04"/>
    <w:rsid w:val="00E4114E"/>
    <w:rsid w:val="00E4685A"/>
    <w:rsid w:val="00E46AF8"/>
    <w:rsid w:val="00E47D4D"/>
    <w:rsid w:val="00E558C9"/>
    <w:rsid w:val="00E62206"/>
    <w:rsid w:val="00E624C8"/>
    <w:rsid w:val="00E63B32"/>
    <w:rsid w:val="00E64E02"/>
    <w:rsid w:val="00E6616F"/>
    <w:rsid w:val="00E735C3"/>
    <w:rsid w:val="00E76059"/>
    <w:rsid w:val="00E852A2"/>
    <w:rsid w:val="00E87830"/>
    <w:rsid w:val="00E91644"/>
    <w:rsid w:val="00E92C32"/>
    <w:rsid w:val="00E95697"/>
    <w:rsid w:val="00E95D22"/>
    <w:rsid w:val="00EA2B3C"/>
    <w:rsid w:val="00EA5A6F"/>
    <w:rsid w:val="00EB0DA4"/>
    <w:rsid w:val="00EB0FAE"/>
    <w:rsid w:val="00EB3575"/>
    <w:rsid w:val="00EB4152"/>
    <w:rsid w:val="00EB58BD"/>
    <w:rsid w:val="00EB63D8"/>
    <w:rsid w:val="00EB6504"/>
    <w:rsid w:val="00EB78EC"/>
    <w:rsid w:val="00EC2535"/>
    <w:rsid w:val="00EC4601"/>
    <w:rsid w:val="00EC5518"/>
    <w:rsid w:val="00EC76DA"/>
    <w:rsid w:val="00ED54C3"/>
    <w:rsid w:val="00ED6687"/>
    <w:rsid w:val="00ED715D"/>
    <w:rsid w:val="00EE126B"/>
    <w:rsid w:val="00EE6780"/>
    <w:rsid w:val="00EE73E5"/>
    <w:rsid w:val="00EE7973"/>
    <w:rsid w:val="00EF0AF6"/>
    <w:rsid w:val="00EF14AE"/>
    <w:rsid w:val="00EF2136"/>
    <w:rsid w:val="00EF2922"/>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97C"/>
    <w:rsid w:val="00F32EF1"/>
    <w:rsid w:val="00F33BD6"/>
    <w:rsid w:val="00F342CC"/>
    <w:rsid w:val="00F40933"/>
    <w:rsid w:val="00F42E1E"/>
    <w:rsid w:val="00F51F15"/>
    <w:rsid w:val="00F558B4"/>
    <w:rsid w:val="00F55A37"/>
    <w:rsid w:val="00F55F1E"/>
    <w:rsid w:val="00F56869"/>
    <w:rsid w:val="00F611EB"/>
    <w:rsid w:val="00F67576"/>
    <w:rsid w:val="00F711E2"/>
    <w:rsid w:val="00F71616"/>
    <w:rsid w:val="00F71A80"/>
    <w:rsid w:val="00F726B8"/>
    <w:rsid w:val="00F8408F"/>
    <w:rsid w:val="00F906EF"/>
    <w:rsid w:val="00F91ACF"/>
    <w:rsid w:val="00F9288C"/>
    <w:rsid w:val="00FA1742"/>
    <w:rsid w:val="00FA1B07"/>
    <w:rsid w:val="00FA2242"/>
    <w:rsid w:val="00FA239A"/>
    <w:rsid w:val="00FA27C0"/>
    <w:rsid w:val="00FA4143"/>
    <w:rsid w:val="00FA4179"/>
    <w:rsid w:val="00FA62B9"/>
    <w:rsid w:val="00FA69D3"/>
    <w:rsid w:val="00FA7C74"/>
    <w:rsid w:val="00FB00A5"/>
    <w:rsid w:val="00FB022C"/>
    <w:rsid w:val="00FB3892"/>
    <w:rsid w:val="00FB3F22"/>
    <w:rsid w:val="00FB4C7C"/>
    <w:rsid w:val="00FC118E"/>
    <w:rsid w:val="00FC1207"/>
    <w:rsid w:val="00FC2706"/>
    <w:rsid w:val="00FC4BB5"/>
    <w:rsid w:val="00FD1C75"/>
    <w:rsid w:val="00FD21BC"/>
    <w:rsid w:val="00FD304B"/>
    <w:rsid w:val="00FD7770"/>
    <w:rsid w:val="00FF4CCD"/>
    <w:rsid w:val="00FF55B6"/>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har"/>
    <w:qFormat/>
    <w:rsid w:val="0063492F"/>
    <w:pPr>
      <w:keepNext/>
      <w:keepLines/>
      <w:spacing w:after="0"/>
    </w:pPr>
    <w:rPr>
      <w:rFonts w:eastAsia="SimSun"/>
      <w:sz w:val="18"/>
      <w:szCs w:val="20"/>
      <w:lang w:val="en-GB" w:eastAsia="x-none"/>
    </w:rPr>
  </w:style>
  <w:style w:type="character" w:customStyle="1" w:styleId="TALChar">
    <w:name w:val="TAL Char"/>
    <w:link w:val="TAL"/>
    <w:rsid w:val="0063492F"/>
    <w:rPr>
      <w:rFonts w:ascii="Arial" w:eastAsia="SimSun" w:hAnsi="Arial"/>
      <w:sz w:val="18"/>
      <w:lang w:eastAsia="x-none"/>
    </w:rPr>
  </w:style>
  <w:style w:type="paragraph" w:customStyle="1" w:styleId="TAH">
    <w:name w:val="TAH"/>
    <w:basedOn w:val="TAC"/>
    <w:link w:val="TAHCar"/>
    <w:rsid w:val="0063492F"/>
    <w:rPr>
      <w:b/>
    </w:rPr>
  </w:style>
  <w:style w:type="paragraph" w:customStyle="1" w:styleId="TAC">
    <w:name w:val="TAC"/>
    <w:basedOn w:val="TAL"/>
    <w:link w:val="TACChar"/>
    <w:rsid w:val="0063492F"/>
    <w:pPr>
      <w:jc w:val="center"/>
    </w:pPr>
  </w:style>
  <w:style w:type="character" w:customStyle="1" w:styleId="TACChar">
    <w:name w:val="TAC Char"/>
    <w:link w:val="TAC"/>
    <w:locked/>
    <w:rsid w:val="0063492F"/>
    <w:rPr>
      <w:rFonts w:ascii="Arial" w:eastAsia="SimSun" w:hAnsi="Arial"/>
      <w:sz w:val="18"/>
      <w:lang w:eastAsia="x-none"/>
    </w:rPr>
  </w:style>
  <w:style w:type="character" w:customStyle="1" w:styleId="TAHCar">
    <w:name w:val="TAH Car"/>
    <w:link w:val="TAH"/>
    <w:rsid w:val="0063492F"/>
    <w:rPr>
      <w:rFonts w:ascii="Arial" w:eastAsia="SimSun" w:hAnsi="Arial"/>
      <w:b/>
      <w:sz w:val="18"/>
      <w:lang w:eastAsia="x-none"/>
    </w:rPr>
  </w:style>
  <w:style w:type="paragraph" w:customStyle="1" w:styleId="TH">
    <w:name w:val="TH"/>
    <w:basedOn w:val="Normal"/>
    <w:link w:val="THChar"/>
    <w:rsid w:val="0063492F"/>
    <w:pPr>
      <w:keepNext/>
      <w:keepLines/>
      <w:spacing w:before="60" w:after="180"/>
      <w:jc w:val="center"/>
    </w:pPr>
    <w:rPr>
      <w:rFonts w:eastAsia="SimSun"/>
      <w:b/>
      <w:szCs w:val="20"/>
      <w:lang w:val="en-GB" w:eastAsia="x-none"/>
    </w:rPr>
  </w:style>
  <w:style w:type="character" w:customStyle="1" w:styleId="THChar">
    <w:name w:val="TH Char"/>
    <w:link w:val="TH"/>
    <w:rsid w:val="0063492F"/>
    <w:rPr>
      <w:rFonts w:ascii="Arial" w:eastAsia="SimSun" w:hAnsi="Arial"/>
      <w:b/>
      <w:lang w:eastAsia="x-none"/>
    </w:rPr>
  </w:style>
  <w:style w:type="paragraph" w:customStyle="1" w:styleId="TF">
    <w:name w:val="TF"/>
    <w:basedOn w:val="TH"/>
    <w:link w:val="TFChar"/>
    <w:rsid w:val="0063492F"/>
    <w:pPr>
      <w:keepNext w:val="0"/>
      <w:spacing w:before="0" w:after="240"/>
    </w:pPr>
  </w:style>
  <w:style w:type="character" w:customStyle="1" w:styleId="TFChar">
    <w:name w:val="TF Char"/>
    <w:link w:val="TF"/>
    <w:locked/>
    <w:rsid w:val="0063492F"/>
    <w:rPr>
      <w:rFonts w:ascii="Arial" w:eastAsia="SimSun" w:hAnsi="Arial"/>
      <w:b/>
      <w:lang w:eastAsia="x-none"/>
    </w:rPr>
  </w:style>
  <w:style w:type="paragraph" w:customStyle="1" w:styleId="B2">
    <w:name w:val="B2"/>
    <w:basedOn w:val="Normal"/>
    <w:link w:val="B2Char"/>
    <w:qFormat/>
    <w:rsid w:val="00D0379B"/>
    <w:pPr>
      <w:spacing w:after="180"/>
      <w:ind w:left="851" w:hanging="284"/>
    </w:pPr>
    <w:rPr>
      <w:rFonts w:ascii="Times New Roman" w:eastAsia="Times New Roman" w:hAnsi="Times New Roman"/>
      <w:szCs w:val="20"/>
      <w:lang w:val="en-GB" w:eastAsia="x-none"/>
    </w:rPr>
  </w:style>
  <w:style w:type="character" w:customStyle="1" w:styleId="NOChar1">
    <w:name w:val="NO Char1"/>
    <w:link w:val="NO"/>
    <w:rsid w:val="00D0379B"/>
    <w:rPr>
      <w:rFonts w:ascii="Times New Roman" w:eastAsia="Times New Roman" w:hAnsi="Times New Roman"/>
      <w:lang w:eastAsia="en-US"/>
    </w:rPr>
  </w:style>
  <w:style w:type="character" w:customStyle="1" w:styleId="B2Char">
    <w:name w:val="B2 Char"/>
    <w:link w:val="B2"/>
    <w:qFormat/>
    <w:rsid w:val="00D0379B"/>
    <w:rPr>
      <w:rFonts w:ascii="Times New Roman" w:eastAsia="Times New Roman" w:hAnsi="Times New Roman"/>
      <w:lang w:eastAsia="x-none"/>
    </w:rPr>
  </w:style>
  <w:style w:type="character" w:styleId="Emphasis">
    <w:name w:val="Emphasis"/>
    <w:uiPriority w:val="20"/>
    <w:qFormat/>
    <w:rsid w:val="00D0379B"/>
    <w:rPr>
      <w:i/>
      <w:iCs/>
    </w:rPr>
  </w:style>
  <w:style w:type="character" w:customStyle="1" w:styleId="B1Char1">
    <w:name w:val="B1 Char1"/>
    <w:qFormat/>
    <w:rsid w:val="000C7C9F"/>
    <w:rPr>
      <w:rFonts w:eastAsia="Times New Roman"/>
    </w:rPr>
  </w:style>
  <w:style w:type="paragraph" w:customStyle="1" w:styleId="B3">
    <w:name w:val="B3"/>
    <w:basedOn w:val="List3"/>
    <w:link w:val="B3Char2"/>
    <w:rsid w:val="000C7C9F"/>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0C7C9F"/>
    <w:rPr>
      <w:rFonts w:ascii="Times New Roman" w:eastAsia="Times New Roman" w:hAnsi="Times New Roman"/>
      <w:lang w:val="x-none" w:eastAsia="x-none"/>
    </w:rPr>
  </w:style>
  <w:style w:type="paragraph" w:styleId="List3">
    <w:name w:val="List 3"/>
    <w:basedOn w:val="Normal"/>
    <w:uiPriority w:val="99"/>
    <w:semiHidden/>
    <w:unhideWhenUsed/>
    <w:rsid w:val="000C7C9F"/>
    <w:pPr>
      <w:ind w:left="849" w:hanging="283"/>
      <w:contextualSpacing/>
    </w:pPr>
  </w:style>
  <w:style w:type="character" w:customStyle="1" w:styleId="TALCar">
    <w:name w:val="TAL Car"/>
    <w:qFormat/>
    <w:rsid w:val="00151325"/>
    <w:rPr>
      <w:rFonts w:ascii="Arial" w:eastAsia="Times New Roman" w:hAnsi="Arial"/>
      <w:sz w:val="18"/>
    </w:rPr>
  </w:style>
  <w:style w:type="paragraph" w:customStyle="1" w:styleId="TAN">
    <w:name w:val="TAN"/>
    <w:basedOn w:val="TAL"/>
    <w:link w:val="TANChar"/>
    <w:rsid w:val="00BD097D"/>
    <w:pPr>
      <w:ind w:left="851" w:hanging="851"/>
    </w:pPr>
    <w:rPr>
      <w:lang w:eastAsia="en-US"/>
    </w:rPr>
  </w:style>
  <w:style w:type="character" w:customStyle="1" w:styleId="TANChar">
    <w:name w:val="TAN Char"/>
    <w:link w:val="TAN"/>
    <w:rsid w:val="00BD097D"/>
    <w:rPr>
      <w:rFonts w:ascii="Arial" w:eastAsia="SimSun" w:hAnsi="Arial"/>
      <w:sz w:val="18"/>
      <w:lang w:eastAsia="en-US"/>
    </w:rPr>
  </w:style>
  <w:style w:type="paragraph" w:customStyle="1" w:styleId="Bulletedo1">
    <w:name w:val="Bulleted o 1"/>
    <w:basedOn w:val="Normal"/>
    <w:rsid w:val="00BD097D"/>
    <w:pPr>
      <w:numPr>
        <w:numId w:val="46"/>
      </w:numPr>
      <w:overflowPunct w:val="0"/>
      <w:autoSpaceDE w:val="0"/>
      <w:autoSpaceDN w:val="0"/>
      <w:adjustRightInd w:val="0"/>
      <w:spacing w:before="120" w:after="120"/>
      <w:textAlignment w:val="baseline"/>
    </w:pPr>
    <w:rPr>
      <w:rFonts w:ascii="Times New Roman" w:eastAsia="SimSun" w:hAnsi="Times New Roman"/>
      <w:szCs w:val="20"/>
      <w:lang w:val="en-GB"/>
    </w:rPr>
  </w:style>
  <w:style w:type="character" w:customStyle="1" w:styleId="B3Char">
    <w:name w:val="B3 Char"/>
    <w:rsid w:val="009E03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57649492">
      <w:bodyDiv w:val="1"/>
      <w:marLeft w:val="0"/>
      <w:marRight w:val="0"/>
      <w:marTop w:val="0"/>
      <w:marBottom w:val="0"/>
      <w:divBdr>
        <w:top w:val="none" w:sz="0" w:space="0" w:color="auto"/>
        <w:left w:val="none" w:sz="0" w:space="0" w:color="auto"/>
        <w:bottom w:val="none" w:sz="0" w:space="0" w:color="auto"/>
        <w:right w:val="none" w:sz="0" w:space="0" w:color="auto"/>
      </w:divBdr>
      <w:divsChild>
        <w:div w:id="65301426">
          <w:marLeft w:val="1699"/>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8372913">
      <w:bodyDiv w:val="1"/>
      <w:marLeft w:val="0"/>
      <w:marRight w:val="0"/>
      <w:marTop w:val="0"/>
      <w:marBottom w:val="0"/>
      <w:divBdr>
        <w:top w:val="none" w:sz="0" w:space="0" w:color="auto"/>
        <w:left w:val="none" w:sz="0" w:space="0" w:color="auto"/>
        <w:bottom w:val="none" w:sz="0" w:space="0" w:color="auto"/>
        <w:right w:val="none" w:sz="0" w:space="0" w:color="auto"/>
      </w:divBdr>
    </w:div>
    <w:div w:id="155211479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58098830">
      <w:bodyDiv w:val="1"/>
      <w:marLeft w:val="0"/>
      <w:marRight w:val="0"/>
      <w:marTop w:val="0"/>
      <w:marBottom w:val="0"/>
      <w:divBdr>
        <w:top w:val="none" w:sz="0" w:space="0" w:color="auto"/>
        <w:left w:val="none" w:sz="0" w:space="0" w:color="auto"/>
        <w:bottom w:val="none" w:sz="0" w:space="0" w:color="auto"/>
        <w:right w:val="none" w:sz="0" w:space="0" w:color="auto"/>
      </w:divBdr>
    </w:div>
    <w:div w:id="2011594184">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31825966">
      <w:bodyDiv w:val="1"/>
      <w:marLeft w:val="0"/>
      <w:marRight w:val="0"/>
      <w:marTop w:val="0"/>
      <w:marBottom w:val="0"/>
      <w:divBdr>
        <w:top w:val="none" w:sz="0" w:space="0" w:color="auto"/>
        <w:left w:val="none" w:sz="0" w:space="0" w:color="auto"/>
        <w:bottom w:val="none" w:sz="0" w:space="0" w:color="auto"/>
        <w:right w:val="none" w:sz="0" w:space="0" w:color="auto"/>
      </w:divBdr>
    </w:div>
    <w:div w:id="2140341189">
      <w:bodyDiv w:val="1"/>
      <w:marLeft w:val="0"/>
      <w:marRight w:val="0"/>
      <w:marTop w:val="0"/>
      <w:marBottom w:val="0"/>
      <w:divBdr>
        <w:top w:val="none" w:sz="0" w:space="0" w:color="auto"/>
        <w:left w:val="none" w:sz="0" w:space="0" w:color="auto"/>
        <w:bottom w:val="none" w:sz="0" w:space="0" w:color="auto"/>
        <w:right w:val="none" w:sz="0" w:space="0" w:color="auto"/>
      </w:divBdr>
      <w:divsChild>
        <w:div w:id="60889925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1277.zip" TargetMode="External"/><Relationship Id="rId3" Type="http://schemas.openxmlformats.org/officeDocument/2006/relationships/settings" Target="settings.xml"/><Relationship Id="rId7" Type="http://schemas.openxmlformats.org/officeDocument/2006/relationships/hyperlink" Target="http://www.3gpp.org/ftp/tsg_ran/WG2_RL2/TSGR2_105/Docs/R2-190104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sa/WG2_Arch//TSGS2_130_Kochi/Docs/S2-19013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97</cp:revision>
  <cp:lastPrinted>2009-10-21T14:47:00Z</cp:lastPrinted>
  <dcterms:created xsi:type="dcterms:W3CDTF">2019-03-25T04:26:00Z</dcterms:created>
  <dcterms:modified xsi:type="dcterms:W3CDTF">2019-03-29T06:10:00Z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